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00A8E" w14:textId="77777777" w:rsidR="00007850" w:rsidRPr="00AF000E" w:rsidRDefault="00007850" w:rsidP="00007850">
      <w:pPr>
        <w:bidi/>
        <w:spacing w:line="360" w:lineRule="auto"/>
        <w:jc w:val="center"/>
        <w:rPr>
          <w:rFonts w:asciiTheme="minorBidi" w:hAnsiTheme="minorBidi"/>
          <w:b/>
          <w:bCs/>
          <w:sz w:val="24"/>
          <w:szCs w:val="24"/>
          <w:rtl/>
        </w:rPr>
      </w:pPr>
      <w:bookmarkStart w:id="0" w:name="_GoBack"/>
      <w:bookmarkEnd w:id="0"/>
      <w:r w:rsidRPr="00AF000E">
        <w:rPr>
          <w:rFonts w:asciiTheme="minorBidi" w:hAnsiTheme="minorBidi"/>
          <w:b/>
          <w:bCs/>
          <w:sz w:val="24"/>
          <w:szCs w:val="24"/>
          <w:rtl/>
        </w:rPr>
        <w:t>תקציר</w:t>
      </w:r>
    </w:p>
    <w:p w14:paraId="774C0C36" w14:textId="77777777" w:rsidR="00007850" w:rsidRDefault="00007850" w:rsidP="00007850">
      <w:pPr>
        <w:bidi/>
      </w:pPr>
    </w:p>
    <w:p w14:paraId="3B7D6BBA" w14:textId="77777777" w:rsidR="00007850" w:rsidRDefault="00007850" w:rsidP="00007850">
      <w:pPr>
        <w:bidi/>
        <w:jc w:val="center"/>
      </w:pPr>
    </w:p>
    <w:p w14:paraId="27D2BA70" w14:textId="760ACF7E" w:rsidR="00007850" w:rsidRDefault="00007850" w:rsidP="00007850">
      <w:pPr>
        <w:bidi/>
        <w:jc w:val="center"/>
      </w:pPr>
      <w:r>
        <w:rPr>
          <w:rFonts w:cs="Arial"/>
          <w:rtl/>
        </w:rPr>
        <w:t>הסרת עכבות כאסטרטגיה דיסקורסיבית של נקיטת עמדה</w:t>
      </w:r>
    </w:p>
    <w:p w14:paraId="5A4722B1" w14:textId="77777777" w:rsidR="00007850" w:rsidRDefault="00007850" w:rsidP="00007850">
      <w:pPr>
        <w:bidi/>
        <w:jc w:val="center"/>
      </w:pPr>
      <w:r>
        <w:rPr>
          <w:rFonts w:cs="Arial"/>
          <w:rtl/>
        </w:rPr>
        <w:t>פירוק צרופים כבולים ו"דיספמיזם" בשיח של ניקולה סרקוזי (2007) על היחס ללאומיות</w:t>
      </w:r>
    </w:p>
    <w:p w14:paraId="18334D02" w14:textId="77777777" w:rsidR="00880F17" w:rsidRDefault="00880F17" w:rsidP="00880F17">
      <w:pPr>
        <w:rPr>
          <w:rtl/>
        </w:rPr>
      </w:pPr>
    </w:p>
    <w:p w14:paraId="704BC16E" w14:textId="77777777" w:rsidR="00007850" w:rsidRPr="00AF000E" w:rsidRDefault="00007850" w:rsidP="00007850">
      <w:pPr>
        <w:bidi/>
        <w:spacing w:line="360" w:lineRule="auto"/>
        <w:jc w:val="both"/>
        <w:rPr>
          <w:rFonts w:asciiTheme="minorBidi" w:hAnsiTheme="minorBidi"/>
          <w:sz w:val="24"/>
          <w:szCs w:val="24"/>
          <w:rtl/>
        </w:rPr>
      </w:pPr>
    </w:p>
    <w:p w14:paraId="25488CA7"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 xml:space="preserve">עבודה זו מציגה ניתוח </w:t>
      </w:r>
      <w:r w:rsidRPr="00AF000E">
        <w:rPr>
          <w:rFonts w:asciiTheme="minorBidi" w:hAnsiTheme="minorBidi" w:hint="cs"/>
          <w:sz w:val="24"/>
          <w:szCs w:val="24"/>
          <w:rtl/>
        </w:rPr>
        <w:t>דיסקורסיבי וארגומנטטיבי</w:t>
      </w:r>
      <w:r w:rsidRPr="00AF000E">
        <w:rPr>
          <w:rFonts w:asciiTheme="minorBidi" w:hAnsiTheme="minorBidi"/>
          <w:sz w:val="24"/>
          <w:szCs w:val="24"/>
          <w:rtl/>
        </w:rPr>
        <w:t xml:space="preserve"> של נאומים שנשא ניקולה סרקוזי במסגרת מסע הבחירות שלו לנשיאות צרפת ב-2007, במטרה לבסס הבנה מ</w:t>
      </w:r>
      <w:r w:rsidRPr="00AF000E">
        <w:rPr>
          <w:rFonts w:asciiTheme="minorBidi" w:hAnsiTheme="minorBidi" w:hint="cs"/>
          <w:sz w:val="24"/>
          <w:szCs w:val="24"/>
          <w:rtl/>
        </w:rPr>
        <w:t>קיפה</w:t>
      </w:r>
      <w:r w:rsidRPr="00AF000E">
        <w:rPr>
          <w:rFonts w:asciiTheme="minorBidi" w:hAnsiTheme="minorBidi"/>
          <w:sz w:val="24"/>
          <w:szCs w:val="24"/>
          <w:rtl/>
        </w:rPr>
        <w:t xml:space="preserve"> של הנושאים המרכזיים שעמדו על הפרק בשיח שלו במהלך תקופה זו. היא מראה כי הוא המציא גישה חדשה (שאותה כינינו </w:t>
      </w:r>
      <w:r w:rsidRPr="00AF000E">
        <w:rPr>
          <w:rFonts w:asciiTheme="minorBidi" w:hAnsiTheme="minorBidi"/>
          <w:sz w:val="24"/>
          <w:szCs w:val="24"/>
        </w:rPr>
        <w:t>posture de décomplexion</w:t>
      </w:r>
      <w:r w:rsidRPr="00AF000E">
        <w:rPr>
          <w:rFonts w:asciiTheme="minorBidi" w:hAnsiTheme="minorBidi"/>
          <w:sz w:val="24"/>
          <w:szCs w:val="24"/>
          <w:rtl/>
        </w:rPr>
        <w:t xml:space="preserve"> - הגישה חסרת העכבות)</w:t>
      </w:r>
      <w:r w:rsidRPr="00AF000E">
        <w:rPr>
          <w:rFonts w:asciiTheme="minorBidi" w:hAnsiTheme="minorBidi"/>
          <w:sz w:val="24"/>
          <w:szCs w:val="24"/>
        </w:rPr>
        <w:t xml:space="preserve"> </w:t>
      </w:r>
      <w:r w:rsidRPr="00AF000E">
        <w:rPr>
          <w:rFonts w:asciiTheme="minorBidi" w:hAnsiTheme="minorBidi"/>
          <w:sz w:val="24"/>
          <w:szCs w:val="24"/>
          <w:rtl/>
        </w:rPr>
        <w:t xml:space="preserve">אשר אפשרה לו לעסוק בנושאים שנחשבו עד אז לטאבו מבחינתו של כל מועמד לנשיאות מהזרם המרכזי, עקב טבעם הרגיש. הבחירות של שנת 2007 נערכו לאחר סדרה של שלושה מאורעות שכל אחד מהם היה מקור לאין-ספור ויכוחים ודיונים אשר סיכנו כל נואם בתיוג כ"גזען" או "נאיבי". הראשון שבהם היה אירועי ה-11 בספטמבר; השני היה ההתחזקות האלקטורלית של נציג הימין הקיצוני ז'אן-מארי לה פן, שעלייתו לסיבוב השני של הבחירות לנשיאות ב-2002 היתה אירוע חסר תקדים; השלישי היה המהומות רחבות ההיקף שהתחוללו ב-2005 בפרברים ששיעור ניכר מאוכלוסייתם </w:t>
      </w:r>
      <w:r w:rsidRPr="00AF000E">
        <w:rPr>
          <w:rFonts w:asciiTheme="minorBidi" w:hAnsiTheme="minorBidi" w:hint="cs"/>
          <w:sz w:val="24"/>
          <w:szCs w:val="24"/>
          <w:rtl/>
        </w:rPr>
        <w:t>היה</w:t>
      </w:r>
      <w:r w:rsidRPr="00AF000E">
        <w:rPr>
          <w:rFonts w:asciiTheme="minorBidi" w:hAnsiTheme="minorBidi"/>
          <w:sz w:val="24"/>
          <w:szCs w:val="24"/>
          <w:rtl/>
        </w:rPr>
        <w:t xml:space="preserve"> אזרחים צרפתים ממוצא זר. </w:t>
      </w:r>
    </w:p>
    <w:p w14:paraId="6B48A786"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ab/>
        <w:t xml:space="preserve">במהלך חסר תקדים ביסס סרקוזי את "הגישה חסרת העכבות" שלו על רכיבים ששאל הן מהשיח של לה פן והן מהשיח של מתנגדי לה פן. הוא שכתב אותם באמצעות מלאכה עדינה של פירוק וסידור-מחדש של הביטויים השגורים והנושאים החוזרים שאפיינו אותם. חוקרים ועיתונאים הבחינו כי השיח של סרקוזי כולל שפע של התייחסויות (לדמויות פוליטיות, להתבטאויות שלהן וכו') שהושפעו או "נגנבו" ממחנות או גופים שונים מכל רחבי הספקטרום הפוליטי – החל בימין הקיצוני וכלה בשמאל. החלטנו לבדוק אם ההתייחסויות הפוליטיות/היסטוריות המגוונות הללו היו חלק מאסטרטגיה נטולת </w:t>
      </w:r>
      <w:r w:rsidRPr="00AF000E">
        <w:rPr>
          <w:rFonts w:asciiTheme="minorBidi" w:hAnsiTheme="minorBidi" w:hint="cs"/>
          <w:sz w:val="24"/>
          <w:szCs w:val="24"/>
          <w:rtl/>
        </w:rPr>
        <w:t>היגיון פנימי</w:t>
      </w:r>
      <w:r w:rsidRPr="00AF000E">
        <w:rPr>
          <w:rFonts w:asciiTheme="minorBidi" w:hAnsiTheme="minorBidi"/>
          <w:sz w:val="24"/>
          <w:szCs w:val="24"/>
          <w:rtl/>
        </w:rPr>
        <w:t xml:space="preserve"> של "לירות לכל הכיוונים", או שמדובר בדינמיקה </w:t>
      </w:r>
      <w:r w:rsidRPr="00AF000E">
        <w:rPr>
          <w:rFonts w:asciiTheme="minorBidi" w:hAnsiTheme="minorBidi" w:hint="cs"/>
          <w:sz w:val="24"/>
          <w:szCs w:val="24"/>
          <w:rtl/>
        </w:rPr>
        <w:t>סדורה הנוכחת בכל נאומיו של סרקוזי ומשווה להם עקביות ולכידות. ניתוח מפורט של הטקסטים הוביל אותנו למסקנה שכמעט כל רכיבי השיח של סרקוזי ב-2007 הם חלק ממארג מהודק של אסטרטגיית טיעון מושכלת אשר לא ננקטה בשום מסע בחירות קודם לכן.</w:t>
      </w:r>
    </w:p>
    <w:p w14:paraId="5D4FBD1C"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 xml:space="preserve">אסטרטגיה זו מעולם לא נותחה ביסודיות: אף לא אחד מהמאמרים האקדמיים על בחירות 2007 אינו מתייחס לאסטרטגיה זו של סרקוזי בשלמותה. כל אחד מהמחקרים המדעיים מספק תובנות רבות ערך על נושאים נבחרים (מחלוקות ציבוריות הנוגעות ל"זהות לאומית" במרץ 2007, למשל), אך אלה תובנות ספציפיות שאינן מתגבשות לכדי ניתוח מקיף של אסטרטגיית הטיעון הכוללת שנקט סרקוזי באותו מסע בחירות. זוהי בדיוק מטרתה של עבודה זו, הממשיגה ומספקת כלי מחקרי לביצוע </w:t>
      </w:r>
      <w:r w:rsidRPr="00AF000E">
        <w:rPr>
          <w:rFonts w:asciiTheme="minorBidi" w:hAnsiTheme="minorBidi" w:hint="cs"/>
          <w:sz w:val="24"/>
          <w:szCs w:val="24"/>
          <w:rtl/>
        </w:rPr>
        <w:lastRenderedPageBreak/>
        <w:t>המשימה: רעיון "הגישה חסרת העכבות", לאמור - גישה משוחררת ממגבלות קודמות המונחת בבסיסו של שיח בחירות חדש.</w:t>
      </w:r>
    </w:p>
    <w:p w14:paraId="5716B7B5"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לצורך המחקר נבחן כל גוף הנאומים של סרקוזי מספטמבר 2006 ועד (כולל) נאומיו במסע הבחירות. לכך הוספנו כמה נאומים מוקדמים יותר, מ-2005, שנתגלו כרלוונטיים וכמו כן, לצורך הבנת הלוגיקה הטיעונית של המועמד בכללותה, בחרנו להוסיף גם כמה ריאיונות טלוויזיוניים בולטים שאליהם הוזמן סרקוזי.</w:t>
      </w:r>
    </w:p>
    <w:p w14:paraId="1D92811C" w14:textId="77777777" w:rsidR="00007850" w:rsidRPr="00AF000E" w:rsidRDefault="00007850" w:rsidP="00007850">
      <w:pPr>
        <w:bidi/>
        <w:spacing w:line="360" w:lineRule="auto"/>
        <w:ind w:firstLine="720"/>
        <w:jc w:val="both"/>
        <w:rPr>
          <w:rFonts w:asciiTheme="minorBidi" w:hAnsiTheme="minorBidi"/>
          <w:b/>
          <w:bCs/>
          <w:sz w:val="24"/>
          <w:szCs w:val="24"/>
          <w:rtl/>
        </w:rPr>
      </w:pPr>
      <w:r w:rsidRPr="00AF000E">
        <w:rPr>
          <w:rFonts w:asciiTheme="minorBidi" w:hAnsiTheme="minorBidi" w:hint="cs"/>
          <w:b/>
          <w:bCs/>
          <w:sz w:val="24"/>
          <w:szCs w:val="24"/>
          <w:rtl/>
        </w:rPr>
        <w:t>הדפוסים והתכליות של הגישה חסרת העכבות של סרקוזי</w:t>
      </w:r>
    </w:p>
    <w:p w14:paraId="186FC74C"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 xml:space="preserve">במאות עמודי הנאומים ובריאיונות הטלוויזיוניים שסקרנו זיהינו כמה וכמה דפוסים ומאפיינים משותפים המגדירים את הגישה חסרת העכבות ואת מטרותיה. כצעד ראשון (חלק 1) הבנינו </w:t>
      </w:r>
      <w:r w:rsidRPr="00AF000E">
        <w:rPr>
          <w:rFonts w:asciiTheme="minorBidi" w:hAnsiTheme="minorBidi"/>
          <w:sz w:val="24"/>
          <w:szCs w:val="24"/>
          <w:rtl/>
        </w:rPr>
        <w:t>–</w:t>
      </w:r>
      <w:r w:rsidRPr="00AF000E">
        <w:rPr>
          <w:rFonts w:asciiTheme="minorBidi" w:hAnsiTheme="minorBidi" w:hint="cs"/>
          <w:sz w:val="24"/>
          <w:szCs w:val="24"/>
          <w:rtl/>
        </w:rPr>
        <w:t xml:space="preserve"> בהתבסס על ניתוח אמפירי - את הכלי התאורטי של "גישה" ו"חסרת עכבות". הבחנו בכך שממש מתחילתה הגישה חסרת העכבות משמשת כדרך לבניית אתוס קולקטיבי שמטרתו ליצור </w:t>
      </w:r>
      <w:r w:rsidRPr="00AF000E">
        <w:rPr>
          <w:rFonts w:asciiTheme="minorBidi" w:hAnsiTheme="minorBidi"/>
          <w:sz w:val="24"/>
          <w:szCs w:val="24"/>
          <w:rtl/>
        </w:rPr>
        <w:t>–</w:t>
      </w:r>
      <w:r w:rsidRPr="00AF000E">
        <w:rPr>
          <w:rFonts w:asciiTheme="minorBidi" w:hAnsiTheme="minorBidi" w:hint="cs"/>
          <w:sz w:val="24"/>
          <w:szCs w:val="24"/>
          <w:rtl/>
        </w:rPr>
        <w:t xml:space="preserve"> בכל הנוגע לנושא הספציפי של "אומה" ושל תחושת השתייכות לאומה </w:t>
      </w:r>
      <w:r w:rsidRPr="00AF000E">
        <w:rPr>
          <w:rFonts w:asciiTheme="minorBidi" w:hAnsiTheme="minorBidi"/>
          <w:sz w:val="24"/>
          <w:szCs w:val="24"/>
          <w:rtl/>
        </w:rPr>
        <w:t>–</w:t>
      </w:r>
      <w:r w:rsidRPr="00AF000E">
        <w:rPr>
          <w:rFonts w:asciiTheme="minorBidi" w:hAnsiTheme="minorBidi" w:hint="cs"/>
          <w:sz w:val="24"/>
          <w:szCs w:val="24"/>
          <w:rtl/>
        </w:rPr>
        <w:t xml:space="preserve"> עמדת מרכז חדשה בוויכוח האלקטורלי בין השמאל לימין הקיצוני.</w:t>
      </w:r>
    </w:p>
    <w:p w14:paraId="133D63F6"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 xml:space="preserve">בהקשר הצרפתי של בחירות לנשיאות, מה שאפיין ויכוחים מסוג זה היה דיכוטומיה. צד אחד זוהה עם שיח גזעני וקסנופובי (מועמד הימין הקיצוני ז'אן-מארי לה פן). הצד השני, שהקיף את מרבית הספקטרום הפוליטי וכלל את הימין והשמאל גם יחד, זוהה עם שיח "רפובליקני" ומסתייג משנאת זרים שמטרתו היתה למנוע, ככל האפשר, הצלחה אלקטורלית של הימין הקיצוני. נוכחותו של ז'אן-מארי לה פן, מנהיג "החזית הלאומית", יצרה קיטוב בולט בינו לבין מרבית הכוחות הפוליטיים האחרים. במונחי השיח הפוליטי, כל אחת משתי העמדות (של לה פן ושל מתנגדי לה פן) נוסחה בהתבסס על תבניות טיעון ברורות ועל מערך של סטראוטיפים שחזרו על עצמם, לעתים קרובות, בכל עימות. להלן חלק מהשאלות שיצרו את הקיטוב הבולט במסעות הבחירות לנשיאות, במיוחד בשנת 2002: האם מהגר יכול להיות אי-פעם צרפתי אמיתי? מה מותר לצרפת לדרוש ממנו? האם האלימות המיוחסת למהגרים היא סימן להיעדר תחושת שייכות? בכל השאלות האלה לא היה שום מקום לחופש, בכל הנוגע להתמקמות על המפה הפוליטית: די היה בשימוש באחת מתבניות הטיעון המוזכרות לעיל כדי לזהות את המועמד עם אחד משני המחנות </w:t>
      </w:r>
      <w:r w:rsidRPr="00AF000E">
        <w:rPr>
          <w:rFonts w:asciiTheme="minorBidi" w:hAnsiTheme="minorBidi"/>
          <w:sz w:val="24"/>
          <w:szCs w:val="24"/>
          <w:rtl/>
        </w:rPr>
        <w:t>–</w:t>
      </w:r>
      <w:r w:rsidRPr="00AF000E">
        <w:rPr>
          <w:rFonts w:asciiTheme="minorBidi" w:hAnsiTheme="minorBidi" w:hint="cs"/>
          <w:sz w:val="24"/>
          <w:szCs w:val="24"/>
          <w:rtl/>
        </w:rPr>
        <w:t xml:space="preserve"> ימין קיצוני או מתנגדיו.</w:t>
      </w:r>
    </w:p>
    <w:p w14:paraId="3530946F"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 xml:space="preserve">מטרת הגישה חסרת העכבות, שמנגנון השיח שלה מתואר בחלקים 2, 3 ו-4 של העבודה, היתה לבסס את הזכות הבלתי מוגבלת לשימוש בתבניות טיעון המזוהות </w:t>
      </w:r>
      <w:r w:rsidRPr="00AF000E">
        <w:rPr>
          <w:rFonts w:asciiTheme="minorBidi" w:hAnsiTheme="minorBidi" w:hint="cs"/>
          <w:b/>
          <w:bCs/>
          <w:sz w:val="24"/>
          <w:szCs w:val="24"/>
          <w:rtl/>
        </w:rPr>
        <w:t>הן</w:t>
      </w:r>
      <w:r w:rsidRPr="00AF000E">
        <w:rPr>
          <w:rFonts w:asciiTheme="minorBidi" w:hAnsiTheme="minorBidi" w:hint="cs"/>
          <w:sz w:val="24"/>
          <w:szCs w:val="24"/>
          <w:rtl/>
        </w:rPr>
        <w:t xml:space="preserve"> עם הימין הקיצוני </w:t>
      </w:r>
      <w:r w:rsidRPr="00AF000E">
        <w:rPr>
          <w:rFonts w:asciiTheme="minorBidi" w:hAnsiTheme="minorBidi" w:hint="cs"/>
          <w:b/>
          <w:bCs/>
          <w:sz w:val="24"/>
          <w:szCs w:val="24"/>
          <w:rtl/>
        </w:rPr>
        <w:t>והן</w:t>
      </w:r>
      <w:r w:rsidRPr="00AF000E">
        <w:rPr>
          <w:rFonts w:asciiTheme="minorBidi" w:hAnsiTheme="minorBidi" w:hint="cs"/>
          <w:sz w:val="24"/>
          <w:szCs w:val="24"/>
          <w:rtl/>
        </w:rPr>
        <w:t xml:space="preserve"> עם מתנגדיו, תוך הימנעות מהקטגוריזציה המסורתית (שלפיה מועמד המשתמש באחת מתבניות הטיעון מזוהה מיידית עם אחד משני הצדדים).</w:t>
      </w:r>
    </w:p>
    <w:p w14:paraId="23BB256A" w14:textId="77777777" w:rsidR="00007850" w:rsidRPr="00AF000E" w:rsidRDefault="00007850" w:rsidP="00007850">
      <w:pPr>
        <w:bidi/>
        <w:spacing w:line="360" w:lineRule="auto"/>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להלן שני המאפיינים העיקריים של המהלך הטיעוני של סרקוזי בבחירות לנשיאות ב-2007:</w:t>
      </w:r>
    </w:p>
    <w:p w14:paraId="5D972B19" w14:textId="77777777" w:rsidR="00007850" w:rsidRPr="00AF000E" w:rsidRDefault="00007850" w:rsidP="00007850">
      <w:pPr>
        <w:pStyle w:val="a3"/>
        <w:numPr>
          <w:ilvl w:val="0"/>
          <w:numId w:val="1"/>
        </w:numPr>
        <w:bidi/>
        <w:spacing w:line="360" w:lineRule="auto"/>
        <w:jc w:val="both"/>
        <w:rPr>
          <w:rFonts w:asciiTheme="minorBidi" w:hAnsiTheme="minorBidi"/>
          <w:sz w:val="24"/>
          <w:szCs w:val="24"/>
        </w:rPr>
      </w:pPr>
      <w:r w:rsidRPr="00AF000E">
        <w:rPr>
          <w:rFonts w:asciiTheme="minorBidi" w:hAnsiTheme="minorBidi" w:hint="cs"/>
          <w:b/>
          <w:bCs/>
          <w:sz w:val="24"/>
          <w:szCs w:val="24"/>
          <w:rtl/>
        </w:rPr>
        <w:lastRenderedPageBreak/>
        <w:t>טשטוש בולט של פערים קיימים</w:t>
      </w:r>
      <w:r w:rsidRPr="00AF000E">
        <w:rPr>
          <w:rFonts w:asciiTheme="minorBidi" w:hAnsiTheme="minorBidi" w:hint="cs"/>
          <w:sz w:val="24"/>
          <w:szCs w:val="24"/>
          <w:rtl/>
        </w:rPr>
        <w:t>. הסממן הראשון הוא הכפילות המאפיינת את המהלך, הן במישור השיח הנגדי והן במישור המטא-שיח. ואכן, כחלק מאסטרטגיית האותנטיות שלו בחר סרקוזי להציג שיח ייחודי משלו ועמדה ייחודית משלו. הוא השתמש בתבניות וסטראוטיפים של הימין הקיצוני ושל מתנגדי הימין הקיצוני כדי להבליט את עצמו ככל האפשר וליצור טשטוש מכוון של השסעים הקיימים במפה הפוליטית.</w:t>
      </w:r>
    </w:p>
    <w:p w14:paraId="0B5D44E3" w14:textId="77777777" w:rsidR="00007850" w:rsidRPr="00AF000E" w:rsidRDefault="00007850" w:rsidP="00007850">
      <w:pPr>
        <w:pStyle w:val="a3"/>
        <w:numPr>
          <w:ilvl w:val="0"/>
          <w:numId w:val="1"/>
        </w:numPr>
        <w:bidi/>
        <w:spacing w:line="360" w:lineRule="auto"/>
        <w:jc w:val="both"/>
        <w:rPr>
          <w:rFonts w:asciiTheme="minorBidi" w:hAnsiTheme="minorBidi"/>
          <w:sz w:val="24"/>
          <w:szCs w:val="24"/>
        </w:rPr>
      </w:pPr>
      <w:r w:rsidRPr="00AF000E">
        <w:rPr>
          <w:rFonts w:asciiTheme="minorBidi" w:hAnsiTheme="minorBidi" w:hint="cs"/>
          <w:b/>
          <w:bCs/>
          <w:sz w:val="24"/>
          <w:szCs w:val="24"/>
          <w:rtl/>
        </w:rPr>
        <w:t>דיספמיזם ושכתוב</w:t>
      </w:r>
      <w:r w:rsidRPr="00AF000E">
        <w:rPr>
          <w:rFonts w:asciiTheme="minorBidi" w:hAnsiTheme="minorBidi" w:hint="cs"/>
          <w:sz w:val="24"/>
          <w:szCs w:val="24"/>
          <w:rtl/>
        </w:rPr>
        <w:t xml:space="preserve">. לו היה סרקוזי מסתפק בסממן הראשון, הגישה חסרת העכבות היתה לא יותר מדרך לפנות בו-זמנית אל כולם </w:t>
      </w:r>
      <w:r w:rsidRPr="00AF000E">
        <w:rPr>
          <w:rFonts w:asciiTheme="minorBidi" w:hAnsiTheme="minorBidi"/>
          <w:sz w:val="24"/>
          <w:szCs w:val="24"/>
          <w:rtl/>
        </w:rPr>
        <w:t>–</w:t>
      </w:r>
      <w:r w:rsidRPr="00AF000E">
        <w:rPr>
          <w:rFonts w:asciiTheme="minorBidi" w:hAnsiTheme="minorBidi" w:hint="cs"/>
          <w:sz w:val="24"/>
          <w:szCs w:val="24"/>
          <w:rtl/>
        </w:rPr>
        <w:t xml:space="preserve"> ממצביע הימין הקיצוני ועד המצביע ה"רפובליקני" </w:t>
      </w:r>
      <w:r w:rsidRPr="00AF000E">
        <w:rPr>
          <w:rFonts w:asciiTheme="minorBidi" w:hAnsiTheme="minorBidi"/>
          <w:sz w:val="24"/>
          <w:szCs w:val="24"/>
          <w:rtl/>
        </w:rPr>
        <w:t>–</w:t>
      </w:r>
      <w:r w:rsidRPr="00AF000E">
        <w:rPr>
          <w:rFonts w:asciiTheme="minorBidi" w:hAnsiTheme="minorBidi" w:hint="cs"/>
          <w:sz w:val="24"/>
          <w:szCs w:val="24"/>
          <w:rtl/>
        </w:rPr>
        <w:t xml:space="preserve"> באסטרטגיה המוכרת של טשטוש פערים. לכך אפשר לקרוא מהלך של "לירות לכל הכיוונים". אבל ניתוח עומק של המהלך חושף תמונה שונה לגמרי. כאמור לעיל, טבעו המחקרי של כלי "הגישה חסרת העכבות" מאפשר לחוקרים לזהות בשיח של סרקוזי ב-2007 חזרות ומגמות פנימיות שמטרתן אינה לפנות אל כולם דווקא, אלא לנטרל את השסע בין לה פן למתנגדי לה פן באמצעות יצירה של עמדת מרכז. סרקוזי לא רק משכפל תבניות וסטראוטיפים: הוא משנה אותם במידה כזאת שלפעמים רק המעטפת החיצונית שלהם נשארת בעינה, ואילו התוכן משתנה בתכלית. חלק מהנחות היסוד עשויות להישאר במתחם ההנמקה המקובלת, אבל המסקנות שונות לחלוטין. דפוס הטיעון החוזר ונשנה הוא כדלקמן: סרקוזי משתמש בתבנית או סטראוטיפ זרים לימין המסורתי אבל "בוגד" במהות ובמטרות שלשמן, בדרך כלל, משתמשים נואמים בטיעון או בסטראוטיפ אלה, ובעשותו כן הוא ממסמס כליל את נחרצותם.</w:t>
      </w:r>
    </w:p>
    <w:p w14:paraId="14287409"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hint="cs"/>
          <w:sz w:val="24"/>
          <w:szCs w:val="24"/>
          <w:rtl/>
        </w:rPr>
        <w:t xml:space="preserve">זו המסגרת שבתוכה יש להבין את מספרם העצום של מקרי הדיספמיזם אצל סרקוזי. לפניו נהגו מועמדים להשתמש ביופמיזם כדי להגן על כבודן של אוכלוסיות פליטים כאשר נושא האלימות במשפחה עלה על הפרק. אסטרטגיית הדיספמיזם של סרקוזי הביאה אותו לצאת חוצץ, במטא-שיח שלו, נגד השימוש ביופמיזם בכל הנוגע לאחראים, לכאורה, לאלימות. בה בעת הוא ניסח טיעון שהצליח לא להביא למסקנות של הימין הקיצוני של לה פן בכל מה שנוגע ליחסים בין המהגרים לאומה. </w:t>
      </w:r>
    </w:p>
    <w:p w14:paraId="6EF84041"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זוהי רק דוגמה אחת מני רבות שחקרנו. ניתוח השיח והטיעונים מצביע על המצאת עמדה פוליטית חדשה. מצד אחד, עמדה זו מתנגדת בתוקף לשיח האנטי-קסנופובי, ומצד שני היא אינה דוגלת בעמדות הימין הקיצוני בכל מה שנוגע ללאום ולאומה.</w:t>
      </w:r>
    </w:p>
    <w:p w14:paraId="44C5E64A"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sz w:val="24"/>
          <w:szCs w:val="24"/>
          <w:rtl/>
        </w:rPr>
        <w:tab/>
      </w:r>
      <w:r w:rsidRPr="00AF000E">
        <w:rPr>
          <w:rFonts w:asciiTheme="minorBidi" w:hAnsiTheme="minorBidi" w:hint="cs"/>
          <w:sz w:val="24"/>
          <w:szCs w:val="24"/>
          <w:rtl/>
        </w:rPr>
        <w:t>מבנה העבודה מבוסס על השאיפה להבהיר את המאפיינים הנזכרים לעיל של עמדת סרקוזי:</w:t>
      </w:r>
    </w:p>
    <w:p w14:paraId="77207547"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hint="cs"/>
          <w:sz w:val="24"/>
          <w:szCs w:val="24"/>
          <w:rtl/>
        </w:rPr>
        <w:t>חלק 1: חלק זה נועד לזיהוי וגיבוש הרעיון של "הגישה חסרת העכבות" החל מניצניה הראשונים בשיח האלקטורלי בצרפת. המטרה היא להבין במלואו את האופן שבו סרקוזי פיתח את העמדה הזו לרמה שטרם נראתה לפניו.</w:t>
      </w:r>
    </w:p>
    <w:p w14:paraId="3340212D"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hint="cs"/>
          <w:sz w:val="24"/>
          <w:szCs w:val="24"/>
          <w:rtl/>
        </w:rPr>
        <w:lastRenderedPageBreak/>
        <w:t xml:space="preserve">שלושת החלקים הבאים מוקדשים לניתוח מעמיק של הדרך שבה סרקוזי משכתב טיעונים מוכרים וממקם את עצמו אל מול סטראוטיפים ידועים. את זאת הוא עושה במסגרת אסטרטגיה כללית של יצירת עמדות ייחודיות אשר אינן עולות בקנה אחד עם אלה של אף אחד מהשחקנים הפוליטיים הקיימים. </w:t>
      </w:r>
    </w:p>
    <w:p w14:paraId="3E4582E8"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hint="cs"/>
          <w:sz w:val="24"/>
          <w:szCs w:val="24"/>
          <w:rtl/>
        </w:rPr>
        <w:t>חלק 2: בחלק זה אנו מנתחים את האופן שבו סרקוזי מנתץ סטראוטיפים בנוגע למצביעי הימין הקיצוני, וכן סטראוטיפים המתייחסים לתפקיד הלאום בכינון דמוקרטיות. בשלב זה אפשר לזהות את הממד המגננתי של עמדתו.</w:t>
      </w:r>
    </w:p>
    <w:p w14:paraId="0BBBC3AB"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hint="cs"/>
          <w:sz w:val="24"/>
          <w:szCs w:val="24"/>
          <w:rtl/>
        </w:rPr>
        <w:t>חלק 3: חלק זה מתמקד בשכתוב טיעונים וסטראוטיפים המתייחסים לאזרחים צרפתים ממוצא זר וליחסיהם עם הלאום הצרפתי. דיספמיזם הוא כלי שבו המועמד משתמש כדי למשוך תשומת לב  ולהביע התנגדות נחרצת לעמדות מתנגדי לה פן, באמצעות מה שנחזה להיות, ממבט ראשון, לא יותר משכפול של טיעונים מוכרים של הימין הקיצוני. אלא ששכתוב הסטראוטיפים ו"המודלים האקטנטיים" המסורתיים מאפשר לסרקוזי ליצור עמדה חדשה.</w:t>
      </w:r>
    </w:p>
    <w:p w14:paraId="3D4E323D" w14:textId="77777777" w:rsidR="00007850" w:rsidRPr="00AF000E" w:rsidRDefault="00007850" w:rsidP="00007850">
      <w:pPr>
        <w:bidi/>
        <w:spacing w:line="360" w:lineRule="auto"/>
        <w:ind w:left="720"/>
        <w:jc w:val="both"/>
        <w:rPr>
          <w:rFonts w:asciiTheme="minorBidi" w:hAnsiTheme="minorBidi"/>
          <w:sz w:val="24"/>
          <w:szCs w:val="24"/>
          <w:rtl/>
        </w:rPr>
      </w:pPr>
      <w:r w:rsidRPr="00AF000E">
        <w:rPr>
          <w:rFonts w:asciiTheme="minorBidi" w:hAnsiTheme="minorBidi" w:hint="cs"/>
          <w:sz w:val="24"/>
          <w:szCs w:val="24"/>
          <w:rtl/>
        </w:rPr>
        <w:t xml:space="preserve">חלק 4: הסטראוטיפים והטיעונים הנסקרים כאן נוגעים ל"חלק מהשמאל" שאותו מאשים סרקוזי בבגידה בצרפת, באזרחי צרפת ובהיסטוריה של צרפת. הכלי הרטורי המתואר בחלק זה הוא "תגמול" רטורי, דהיינו </w:t>
      </w:r>
      <w:r w:rsidRPr="00AF000E">
        <w:rPr>
          <w:rFonts w:asciiTheme="minorBidi" w:hAnsiTheme="minorBidi"/>
          <w:sz w:val="24"/>
          <w:szCs w:val="24"/>
          <w:rtl/>
        </w:rPr>
        <w:t>–</w:t>
      </w:r>
      <w:r w:rsidRPr="00AF000E">
        <w:rPr>
          <w:rFonts w:asciiTheme="minorBidi" w:hAnsiTheme="minorBidi" w:hint="cs"/>
          <w:sz w:val="24"/>
          <w:szCs w:val="24"/>
          <w:rtl/>
        </w:rPr>
        <w:t xml:space="preserve"> האופן שבו סרקוזי מפנה כלפי השמאל חלק מתבניות הטיעון שבהן השתמש השמאל עצמו כנגד הימין והימין הקיצוני.</w:t>
      </w:r>
    </w:p>
    <w:p w14:paraId="7BEA340F" w14:textId="77777777" w:rsidR="00007850" w:rsidRDefault="00007850" w:rsidP="00007850">
      <w:pPr>
        <w:bidi/>
        <w:spacing w:line="360" w:lineRule="auto"/>
        <w:ind w:left="720" w:firstLine="720"/>
        <w:jc w:val="both"/>
        <w:rPr>
          <w:rFonts w:asciiTheme="minorBidi" w:hAnsiTheme="minorBidi"/>
          <w:sz w:val="24"/>
          <w:szCs w:val="24"/>
          <w:rtl/>
        </w:rPr>
      </w:pPr>
      <w:r w:rsidRPr="00AF000E">
        <w:rPr>
          <w:rFonts w:asciiTheme="minorBidi" w:hAnsiTheme="minorBidi" w:hint="cs"/>
          <w:sz w:val="24"/>
          <w:szCs w:val="24"/>
          <w:rtl/>
        </w:rPr>
        <w:t>לסיכום, עבודה זו בוחנת את אסטרטגיית הטיעון האלקטורלי של סרקוזי, שהיתה ועודנה בעלת השפעה ברורה על פוליטיקת הבחירות בצרפת. הניתוחים הכלולים בה מציגים גם שרטוט מוחשי של האופן שבו מועמד בבחירות יכול ליצור תבניות חדשות באמצעות תבניות ישנות, ועמדות חסרות תקדים באמצעות שימוש נבון במילותיהם של אחרים. ראינו כיצד סרקוזי ערער ושינה את המערכת הפוליטית בעזרת טשטוש פערים ישנים ויצירת פערים חדשים, אשר הגיונם הפנימי אינו בהכרח ברור למתבונן מן החוץ במבט ראשון. ניתוחי השיח והטיעונים הוכיחו את עצמם ככלים מחקריים רבי עוצמה, מאחר שביכולתם לספק הן הליכים לחקירה אמפירית של נתונים בלשניים, והן הליכים לבדיקת השימושים האסטרטגיים בשיח במסגרות מוגדרות ובהקשרים ספציפיים. כלים אלה מגבשים שיטה סוציו-דיסקורסיבית רבת ערך להבנת האופן שבו ניתן לעצב זהויות פוליטיות וכוחות פוליטיים בעזרת שימוש אסטרטגי באמצעים הרטוריים, הפרגמטיים והלקסיקליים הזמינים לנואם בכל סיטואציה אלקטורלית נתונה.</w:t>
      </w:r>
      <w:r>
        <w:rPr>
          <w:rFonts w:asciiTheme="minorBidi" w:hAnsiTheme="minorBidi" w:hint="cs"/>
          <w:sz w:val="24"/>
          <w:szCs w:val="24"/>
          <w:rtl/>
        </w:rPr>
        <w:t xml:space="preserve"> </w:t>
      </w:r>
    </w:p>
    <w:p w14:paraId="62DC24D9" w14:textId="77777777" w:rsidR="00007850" w:rsidRPr="00BF3253" w:rsidRDefault="00007850" w:rsidP="00007850">
      <w:pPr>
        <w:bidi/>
        <w:spacing w:line="360" w:lineRule="auto"/>
        <w:ind w:left="720"/>
        <w:jc w:val="both"/>
        <w:rPr>
          <w:rFonts w:asciiTheme="minorBidi" w:hAnsiTheme="minorBidi"/>
          <w:sz w:val="24"/>
          <w:szCs w:val="24"/>
          <w:rtl/>
        </w:rPr>
      </w:pPr>
    </w:p>
    <w:p w14:paraId="48ED2A0E" w14:textId="77777777" w:rsidR="00007850" w:rsidRDefault="00007850" w:rsidP="00007850">
      <w:pPr>
        <w:bidi/>
      </w:pPr>
    </w:p>
    <w:sectPr w:rsidR="00007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428E3"/>
    <w:multiLevelType w:val="hybridMultilevel"/>
    <w:tmpl w:val="25A490C2"/>
    <w:lvl w:ilvl="0" w:tplc="C09A50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50"/>
    <w:rsid w:val="00007850"/>
    <w:rsid w:val="0021033D"/>
    <w:rsid w:val="0058172F"/>
    <w:rsid w:val="005F138A"/>
    <w:rsid w:val="007D7C53"/>
    <w:rsid w:val="00880F17"/>
    <w:rsid w:val="00AB5773"/>
    <w:rsid w:val="00C4280F"/>
    <w:rsid w:val="00DE109B"/>
    <w:rsid w:val="00E91758"/>
    <w:rsid w:val="00F3212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B1A"/>
  <w15:chartTrackingRefBased/>
  <w15:docId w15:val="{54545586-A89B-4D6A-845F-6A0E6B2B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850"/>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7257</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Edna Dar</cp:lastModifiedBy>
  <cp:revision>2</cp:revision>
  <dcterms:created xsi:type="dcterms:W3CDTF">2020-10-14T06:32:00Z</dcterms:created>
  <dcterms:modified xsi:type="dcterms:W3CDTF">2020-10-14T06:32:00Z</dcterms:modified>
</cp:coreProperties>
</file>