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75" w:rsidRDefault="00C13F75" w:rsidP="00647869">
      <w:pPr>
        <w:rPr>
          <w:rFonts w:ascii="Calibri" w:eastAsia="Calibri" w:hAnsi="Calibri" w:cs="David" w:hint="cs"/>
          <w:b/>
          <w:bCs/>
          <w:sz w:val="32"/>
          <w:szCs w:val="32"/>
          <w:rtl/>
        </w:rPr>
      </w:pPr>
      <w:bookmarkStart w:id="0" w:name="_GoBack"/>
      <w:bookmarkEnd w:id="0"/>
    </w:p>
    <w:p w:rsidR="00C13F75" w:rsidRDefault="00C13F75" w:rsidP="00647869">
      <w:pPr>
        <w:rPr>
          <w:rFonts w:cs="David"/>
          <w:b/>
          <w:bCs/>
          <w:sz w:val="32"/>
          <w:szCs w:val="32"/>
          <w:rtl/>
        </w:rPr>
      </w:pPr>
      <w:r>
        <w:rPr>
          <w:rFonts w:cs="David" w:hint="cs"/>
          <w:b/>
          <w:bCs/>
          <w:sz w:val="32"/>
          <w:szCs w:val="32"/>
          <w:rtl/>
        </w:rPr>
        <w:t>נושא עבודת המחקר: "</w:t>
      </w:r>
      <w:r w:rsidRPr="003843B0">
        <w:rPr>
          <w:rFonts w:cs="David" w:hint="cs"/>
          <w:b/>
          <w:bCs/>
          <w:sz w:val="32"/>
          <w:szCs w:val="32"/>
          <w:rtl/>
        </w:rPr>
        <w:t>מדע</w:t>
      </w:r>
      <w:r w:rsidRPr="003843B0">
        <w:rPr>
          <w:rFonts w:cs="David"/>
          <w:b/>
          <w:bCs/>
          <w:sz w:val="32"/>
          <w:szCs w:val="32"/>
          <w:rtl/>
        </w:rPr>
        <w:t xml:space="preserve"> </w:t>
      </w:r>
      <w:r w:rsidRPr="003843B0">
        <w:rPr>
          <w:rFonts w:cs="David" w:hint="cs"/>
          <w:b/>
          <w:bCs/>
          <w:sz w:val="32"/>
          <w:szCs w:val="32"/>
          <w:rtl/>
        </w:rPr>
        <w:t>ודטרמיניזם</w:t>
      </w:r>
      <w:r w:rsidRPr="003843B0">
        <w:rPr>
          <w:rFonts w:cs="David"/>
          <w:b/>
          <w:bCs/>
          <w:sz w:val="32"/>
          <w:szCs w:val="32"/>
          <w:rtl/>
        </w:rPr>
        <w:t xml:space="preserve"> </w:t>
      </w:r>
      <w:r w:rsidRPr="003843B0">
        <w:rPr>
          <w:rFonts w:cs="David" w:hint="cs"/>
          <w:b/>
          <w:bCs/>
          <w:sz w:val="32"/>
          <w:szCs w:val="32"/>
          <w:rtl/>
        </w:rPr>
        <w:t>ביצירתו</w:t>
      </w:r>
      <w:r w:rsidRPr="003843B0">
        <w:rPr>
          <w:rFonts w:cs="David"/>
          <w:b/>
          <w:bCs/>
          <w:sz w:val="32"/>
          <w:szCs w:val="32"/>
          <w:rtl/>
        </w:rPr>
        <w:t xml:space="preserve"> </w:t>
      </w:r>
      <w:r w:rsidRPr="003843B0">
        <w:rPr>
          <w:rFonts w:cs="David" w:hint="cs"/>
          <w:b/>
          <w:bCs/>
          <w:sz w:val="32"/>
          <w:szCs w:val="32"/>
          <w:rtl/>
        </w:rPr>
        <w:t>של</w:t>
      </w:r>
      <w:r w:rsidRPr="003843B0">
        <w:rPr>
          <w:rFonts w:cs="David"/>
          <w:b/>
          <w:bCs/>
          <w:sz w:val="32"/>
          <w:szCs w:val="32"/>
          <w:rtl/>
        </w:rPr>
        <w:t xml:space="preserve"> </w:t>
      </w:r>
      <w:r w:rsidRPr="003843B0">
        <w:rPr>
          <w:rFonts w:cs="David" w:hint="cs"/>
          <w:b/>
          <w:bCs/>
          <w:sz w:val="32"/>
          <w:szCs w:val="32"/>
          <w:rtl/>
        </w:rPr>
        <w:t>הסופר</w:t>
      </w:r>
      <w:r w:rsidRPr="003843B0">
        <w:rPr>
          <w:rFonts w:cs="David"/>
          <w:b/>
          <w:bCs/>
          <w:sz w:val="32"/>
          <w:szCs w:val="32"/>
          <w:rtl/>
        </w:rPr>
        <w:t xml:space="preserve"> </w:t>
      </w:r>
      <w:r w:rsidRPr="003843B0">
        <w:rPr>
          <w:rFonts w:cs="David" w:hint="cs"/>
          <w:b/>
          <w:bCs/>
          <w:sz w:val="32"/>
          <w:szCs w:val="32"/>
          <w:rtl/>
        </w:rPr>
        <w:t>קורמאק</w:t>
      </w:r>
      <w:r w:rsidRPr="003843B0">
        <w:rPr>
          <w:rFonts w:cs="David"/>
          <w:b/>
          <w:bCs/>
          <w:sz w:val="32"/>
          <w:szCs w:val="32"/>
          <w:rtl/>
        </w:rPr>
        <w:t xml:space="preserve"> </w:t>
      </w:r>
      <w:r w:rsidRPr="003843B0">
        <w:rPr>
          <w:rFonts w:cs="David" w:hint="cs"/>
          <w:b/>
          <w:bCs/>
          <w:sz w:val="32"/>
          <w:szCs w:val="32"/>
          <w:rtl/>
        </w:rPr>
        <w:t>מקארתי</w:t>
      </w:r>
      <w:r>
        <w:rPr>
          <w:rFonts w:cs="David" w:hint="cs"/>
          <w:b/>
          <w:bCs/>
          <w:sz w:val="32"/>
          <w:szCs w:val="32"/>
          <w:rtl/>
        </w:rPr>
        <w:t>"</w:t>
      </w:r>
    </w:p>
    <w:p w:rsidR="00C13F75" w:rsidRDefault="00C13F75" w:rsidP="00647869">
      <w:pPr>
        <w:rPr>
          <w:rFonts w:cs="David"/>
          <w:b/>
          <w:bCs/>
          <w:sz w:val="32"/>
          <w:szCs w:val="32"/>
          <w:rtl/>
        </w:rPr>
      </w:pPr>
      <w:r w:rsidRPr="003843B0">
        <w:rPr>
          <w:rFonts w:cs="David" w:hint="cs"/>
          <w:b/>
          <w:bCs/>
          <w:sz w:val="32"/>
          <w:szCs w:val="32"/>
          <w:rtl/>
        </w:rPr>
        <w:t>חיבור</w:t>
      </w:r>
      <w:r w:rsidRPr="003843B0">
        <w:rPr>
          <w:rFonts w:cs="David"/>
          <w:b/>
          <w:bCs/>
          <w:sz w:val="32"/>
          <w:szCs w:val="32"/>
          <w:rtl/>
        </w:rPr>
        <w:t xml:space="preserve"> </w:t>
      </w:r>
      <w:r w:rsidRPr="003843B0">
        <w:rPr>
          <w:rFonts w:cs="David" w:hint="cs"/>
          <w:b/>
          <w:bCs/>
          <w:sz w:val="32"/>
          <w:szCs w:val="32"/>
          <w:rtl/>
        </w:rPr>
        <w:t>לשם</w:t>
      </w:r>
      <w:r w:rsidRPr="003843B0">
        <w:rPr>
          <w:rFonts w:cs="David"/>
          <w:b/>
          <w:bCs/>
          <w:sz w:val="32"/>
          <w:szCs w:val="32"/>
          <w:rtl/>
        </w:rPr>
        <w:t xml:space="preserve"> </w:t>
      </w:r>
      <w:r w:rsidRPr="003843B0">
        <w:rPr>
          <w:rFonts w:cs="David" w:hint="cs"/>
          <w:b/>
          <w:bCs/>
          <w:sz w:val="32"/>
          <w:szCs w:val="32"/>
          <w:rtl/>
        </w:rPr>
        <w:t>קבלת</w:t>
      </w:r>
      <w:r w:rsidRPr="003843B0">
        <w:rPr>
          <w:rFonts w:cs="David"/>
          <w:b/>
          <w:bCs/>
          <w:sz w:val="32"/>
          <w:szCs w:val="32"/>
          <w:rtl/>
        </w:rPr>
        <w:t xml:space="preserve"> </w:t>
      </w:r>
      <w:r w:rsidRPr="003843B0">
        <w:rPr>
          <w:rFonts w:cs="David" w:hint="cs"/>
          <w:b/>
          <w:bCs/>
          <w:sz w:val="32"/>
          <w:szCs w:val="32"/>
          <w:rtl/>
        </w:rPr>
        <w:t>התואר</w:t>
      </w:r>
      <w:r w:rsidRPr="003843B0">
        <w:rPr>
          <w:rFonts w:cs="David"/>
          <w:b/>
          <w:bCs/>
          <w:sz w:val="32"/>
          <w:szCs w:val="32"/>
          <w:rtl/>
        </w:rPr>
        <w:t xml:space="preserve"> "</w:t>
      </w:r>
      <w:r w:rsidRPr="003843B0">
        <w:rPr>
          <w:rFonts w:cs="David" w:hint="cs"/>
          <w:b/>
          <w:bCs/>
          <w:sz w:val="32"/>
          <w:szCs w:val="32"/>
          <w:rtl/>
        </w:rPr>
        <w:t>דוקטור</w:t>
      </w:r>
      <w:r w:rsidRPr="003843B0">
        <w:rPr>
          <w:rFonts w:cs="David"/>
          <w:b/>
          <w:bCs/>
          <w:sz w:val="32"/>
          <w:szCs w:val="32"/>
          <w:rtl/>
        </w:rPr>
        <w:t xml:space="preserve"> </w:t>
      </w:r>
      <w:r w:rsidRPr="003843B0">
        <w:rPr>
          <w:rFonts w:cs="David" w:hint="cs"/>
          <w:b/>
          <w:bCs/>
          <w:sz w:val="32"/>
          <w:szCs w:val="32"/>
          <w:rtl/>
        </w:rPr>
        <w:t>לפילוסופיה</w:t>
      </w:r>
      <w:r w:rsidRPr="003843B0">
        <w:rPr>
          <w:rFonts w:cs="David"/>
          <w:b/>
          <w:bCs/>
          <w:sz w:val="32"/>
          <w:szCs w:val="32"/>
          <w:rtl/>
        </w:rPr>
        <w:t>"</w:t>
      </w:r>
    </w:p>
    <w:p w:rsidR="00C13F75" w:rsidRDefault="00C13F75" w:rsidP="00647869">
      <w:pPr>
        <w:rPr>
          <w:rFonts w:cs="David"/>
          <w:b/>
          <w:bCs/>
          <w:sz w:val="32"/>
          <w:szCs w:val="32"/>
          <w:rtl/>
        </w:rPr>
      </w:pPr>
      <w:r w:rsidRPr="003843B0">
        <w:rPr>
          <w:rFonts w:cs="David" w:hint="cs"/>
          <w:b/>
          <w:bCs/>
          <w:sz w:val="32"/>
          <w:szCs w:val="32"/>
          <w:rtl/>
        </w:rPr>
        <w:t>מאת</w:t>
      </w:r>
      <w:r w:rsidRPr="003843B0">
        <w:rPr>
          <w:rFonts w:cs="David"/>
          <w:b/>
          <w:bCs/>
          <w:sz w:val="32"/>
          <w:szCs w:val="32"/>
          <w:rtl/>
        </w:rPr>
        <w:t xml:space="preserve">: </w:t>
      </w:r>
      <w:r w:rsidRPr="003843B0">
        <w:rPr>
          <w:rFonts w:cs="David" w:hint="cs"/>
          <w:b/>
          <w:bCs/>
          <w:sz w:val="32"/>
          <w:szCs w:val="32"/>
          <w:rtl/>
        </w:rPr>
        <w:t>דן</w:t>
      </w:r>
      <w:r w:rsidRPr="003843B0">
        <w:rPr>
          <w:rFonts w:cs="David"/>
          <w:b/>
          <w:bCs/>
          <w:sz w:val="32"/>
          <w:szCs w:val="32"/>
          <w:rtl/>
        </w:rPr>
        <w:t xml:space="preserve"> </w:t>
      </w:r>
      <w:r w:rsidRPr="003843B0">
        <w:rPr>
          <w:rFonts w:cs="David" w:hint="cs"/>
          <w:b/>
          <w:bCs/>
          <w:sz w:val="32"/>
          <w:szCs w:val="32"/>
          <w:rtl/>
        </w:rPr>
        <w:t>קורדובה</w:t>
      </w:r>
    </w:p>
    <w:p w:rsidR="00647869" w:rsidRPr="00C13F75" w:rsidRDefault="00647869" w:rsidP="00647869">
      <w:pPr>
        <w:rPr>
          <w:rFonts w:ascii="Calibri" w:eastAsia="Calibri" w:hAnsi="Calibri" w:cs="David"/>
          <w:b/>
          <w:bCs/>
          <w:sz w:val="32"/>
          <w:szCs w:val="32"/>
          <w:u w:val="single"/>
          <w:rtl/>
        </w:rPr>
      </w:pPr>
      <w:r w:rsidRPr="00C13F75">
        <w:rPr>
          <w:rFonts w:ascii="Calibri" w:eastAsia="Calibri" w:hAnsi="Calibri" w:cs="David" w:hint="cs"/>
          <w:b/>
          <w:bCs/>
          <w:sz w:val="32"/>
          <w:szCs w:val="32"/>
          <w:u w:val="single"/>
          <w:rtl/>
        </w:rPr>
        <w:t>תקציר</w:t>
      </w:r>
    </w:p>
    <w:p w:rsidR="00647869" w:rsidRPr="00647869" w:rsidRDefault="00647869" w:rsidP="00647869">
      <w:pPr>
        <w:spacing w:after="0" w:line="480" w:lineRule="auto"/>
        <w:jc w:val="both"/>
        <w:rPr>
          <w:rFonts w:ascii="Arial" w:eastAsia="Calibri" w:hAnsi="Arial" w:cs="David"/>
          <w:sz w:val="24"/>
          <w:szCs w:val="24"/>
          <w:rtl/>
        </w:rPr>
      </w:pPr>
      <w:r w:rsidRPr="00647869">
        <w:rPr>
          <w:rFonts w:ascii="Arial" w:eastAsia="Calibri" w:hAnsi="Arial" w:cs="David"/>
          <w:sz w:val="24"/>
          <w:szCs w:val="24"/>
          <w:rtl/>
        </w:rPr>
        <w:t xml:space="preserve">      </w:t>
      </w:r>
      <w:r w:rsidRPr="00647869">
        <w:rPr>
          <w:rFonts w:ascii="Arial" w:eastAsia="Calibri" w:hAnsi="Arial" w:cs="David" w:hint="cs"/>
          <w:sz w:val="24"/>
          <w:szCs w:val="24"/>
          <w:rtl/>
        </w:rPr>
        <w:t xml:space="preserve">    </w:t>
      </w:r>
      <w:r w:rsidRPr="00647869">
        <w:rPr>
          <w:rFonts w:ascii="Arial" w:eastAsia="Calibri" w:hAnsi="Arial" w:cs="David"/>
          <w:sz w:val="24"/>
          <w:szCs w:val="24"/>
          <w:rtl/>
        </w:rPr>
        <w:t xml:space="preserve"> </w:t>
      </w:r>
      <w:r w:rsidRPr="00647869">
        <w:rPr>
          <w:rFonts w:ascii="Arial" w:eastAsia="Calibri" w:hAnsi="Arial" w:cs="David" w:hint="cs"/>
          <w:sz w:val="24"/>
          <w:szCs w:val="24"/>
          <w:rtl/>
        </w:rPr>
        <w:t xml:space="preserve">מבחינות רבות יצירתו של הסופר האמריקאי </w:t>
      </w:r>
      <w:r w:rsidRPr="00647869">
        <w:rPr>
          <w:rFonts w:ascii="Arial" w:eastAsia="Calibri" w:hAnsi="Arial" w:cs="David"/>
          <w:sz w:val="24"/>
          <w:szCs w:val="24"/>
          <w:rtl/>
        </w:rPr>
        <w:t xml:space="preserve">קורמאק מקארתי </w:t>
      </w:r>
      <w:r w:rsidRPr="00647869">
        <w:rPr>
          <w:rFonts w:ascii="Calibri" w:eastAsia="Calibri" w:hAnsi="Calibri" w:cs="David"/>
          <w:sz w:val="24"/>
          <w:szCs w:val="24"/>
          <w:rtl/>
        </w:rPr>
        <w:t>(</w:t>
      </w:r>
      <w:r w:rsidRPr="00647869">
        <w:rPr>
          <w:rFonts w:ascii="Calibri" w:eastAsia="Calibri" w:hAnsi="Calibri" w:cs="David"/>
          <w:sz w:val="24"/>
          <w:szCs w:val="24"/>
        </w:rPr>
        <w:t>McCarthy</w:t>
      </w:r>
      <w:r w:rsidRPr="00647869">
        <w:rPr>
          <w:rFonts w:ascii="Calibri" w:eastAsia="Calibri" w:hAnsi="Calibri" w:cs="David"/>
          <w:sz w:val="24"/>
          <w:szCs w:val="24"/>
          <w:rtl/>
        </w:rPr>
        <w:t>)</w:t>
      </w:r>
      <w:r w:rsidRPr="00647869">
        <w:rPr>
          <w:rFonts w:ascii="Arial" w:eastAsia="Calibri" w:hAnsi="Arial" w:cs="David" w:hint="cs"/>
          <w:sz w:val="24"/>
          <w:szCs w:val="24"/>
          <w:rtl/>
        </w:rPr>
        <w:t xml:space="preserve"> הינה בגדר תעלומה ספרותית גדולה. יוצר זה, אשר נוכחותו בנוף הספרות האמריקאית בת זמננו בולטת במיוחד, שב ומעורר תהיות רבות בקרב קוראיו בכל הנוגע לעמדותיו המוסריות, ובכל הקשור ליחסו אל ערכי ההומניזם, הנאורות, הליברליזם והסובלנות, אשר אותם מנכסת לעצמה החברה המערבית המודרנית כמעט בטבעיות. קריאה מעמיקה ביצירתו הרחבה של מקארתי, הכוללת עד עתה כעשרה רומאנים, כשני מחזות וכשני תסריטים, מחדדת הנחה זו כי מקארתי חולק באורח מודגש על היומרה המערבית לייצוג הומניסטי, ונראה כי עמדה ייחודית זו מוצאת את ביטוייה המרכזי בעיסוקו החוזר והאובססיבי כמעט בתופעת האלימות האנושית, ובהפיכתה לאחד מסימני ההיכר המובהקים לכתיבתו. תופעת האלימות, מקורותיה</w:t>
      </w:r>
      <w:r w:rsidRPr="00647869">
        <w:rPr>
          <w:rFonts w:ascii="Arial" w:eastAsia="Calibri" w:hAnsi="Arial" w:cs="David"/>
          <w:sz w:val="24"/>
          <w:szCs w:val="24"/>
          <w:rtl/>
        </w:rPr>
        <w:t xml:space="preserve"> </w:t>
      </w:r>
      <w:r w:rsidRPr="00647869">
        <w:rPr>
          <w:rFonts w:ascii="Arial" w:eastAsia="Calibri" w:hAnsi="Arial" w:cs="David" w:hint="cs"/>
          <w:sz w:val="24"/>
          <w:szCs w:val="24"/>
          <w:rtl/>
        </w:rPr>
        <w:t>והשתקפותם</w:t>
      </w:r>
      <w:r w:rsidRPr="00647869">
        <w:rPr>
          <w:rFonts w:ascii="Arial" w:eastAsia="Calibri" w:hAnsi="Arial" w:cs="David"/>
          <w:sz w:val="24"/>
          <w:szCs w:val="24"/>
          <w:rtl/>
        </w:rPr>
        <w:t xml:space="preserve"> </w:t>
      </w:r>
      <w:r w:rsidRPr="00647869">
        <w:rPr>
          <w:rFonts w:ascii="Arial" w:eastAsia="Calibri" w:hAnsi="Arial" w:cs="David" w:hint="cs"/>
          <w:sz w:val="24"/>
          <w:szCs w:val="24"/>
          <w:rtl/>
        </w:rPr>
        <w:t xml:space="preserve">של אלה </w:t>
      </w:r>
      <w:r w:rsidRPr="00647869">
        <w:rPr>
          <w:rFonts w:ascii="Arial" w:eastAsia="Calibri" w:hAnsi="Arial" w:cs="David"/>
          <w:sz w:val="24"/>
          <w:szCs w:val="24"/>
          <w:rtl/>
        </w:rPr>
        <w:t>ביציר</w:t>
      </w:r>
      <w:r w:rsidRPr="00647869">
        <w:rPr>
          <w:rFonts w:ascii="Arial" w:eastAsia="Calibri" w:hAnsi="Arial" w:cs="David" w:hint="cs"/>
          <w:sz w:val="24"/>
          <w:szCs w:val="24"/>
          <w:rtl/>
        </w:rPr>
        <w:t>ה הכתובה מהווים, אם כך, סוגיה טעונה ומורכבת במיוחד, אשר לה שבו ונזקקו חוקריו השונים של מקארתי לאורך השנים, ואשר ממשיכה לפלג את קוראיו של הסופר בכל הנוגע להערכת עמדותיו המוסריות.</w:t>
      </w:r>
    </w:p>
    <w:p w:rsidR="00647869" w:rsidRPr="00647869" w:rsidRDefault="00647869" w:rsidP="00647869">
      <w:pPr>
        <w:spacing w:after="0" w:line="480" w:lineRule="auto"/>
        <w:jc w:val="both"/>
        <w:rPr>
          <w:rFonts w:ascii="Arial" w:eastAsia="Calibri" w:hAnsi="Arial" w:cs="David"/>
          <w:sz w:val="24"/>
          <w:szCs w:val="24"/>
          <w:rtl/>
        </w:rPr>
      </w:pPr>
      <w:r w:rsidRPr="00647869">
        <w:rPr>
          <w:rFonts w:ascii="Arial" w:eastAsia="Calibri" w:hAnsi="Arial" w:cs="David" w:hint="cs"/>
          <w:sz w:val="24"/>
          <w:szCs w:val="24"/>
          <w:rtl/>
        </w:rPr>
        <w:t xml:space="preserve">         סוגיה זו תנותח במחקרי מזווית שטרם נחקרה עד כה, וזאת תוך התייחסות לשיח המדעי של המחצית השנייה של המאה העשרים ולהתכתבותו של שיח זה עם ייצוגי האלימות ביצירה הכתובה. הטענה המרכזית שתועלה במחקר הינה כי סוגים שונים של שיח מדעי </w:t>
      </w:r>
      <w:r w:rsidRPr="00647869">
        <w:rPr>
          <w:rFonts w:ascii="Arial" w:eastAsia="Calibri" w:hAnsi="Arial" w:cs="David"/>
          <w:sz w:val="24"/>
          <w:szCs w:val="24"/>
          <w:rtl/>
        </w:rPr>
        <w:t>–</w:t>
      </w:r>
      <w:r w:rsidRPr="00647869">
        <w:rPr>
          <w:rFonts w:ascii="Arial" w:eastAsia="Calibri" w:hAnsi="Arial" w:cs="David" w:hint="cs"/>
          <w:sz w:val="24"/>
          <w:szCs w:val="24"/>
          <w:rtl/>
        </w:rPr>
        <w:t xml:space="preserve"> כלומר, שיח מתמטי, שיח ביולוגי ושיח קליני </w:t>
      </w:r>
      <w:r w:rsidRPr="00647869">
        <w:rPr>
          <w:rFonts w:ascii="Arial" w:eastAsia="Calibri" w:hAnsi="Arial" w:cs="David"/>
          <w:sz w:val="24"/>
          <w:szCs w:val="24"/>
          <w:rtl/>
        </w:rPr>
        <w:t>–</w:t>
      </w:r>
      <w:r w:rsidRPr="00647869">
        <w:rPr>
          <w:rFonts w:ascii="Arial" w:eastAsia="Calibri" w:hAnsi="Arial" w:cs="David" w:hint="cs"/>
          <w:sz w:val="24"/>
          <w:szCs w:val="24"/>
          <w:rtl/>
        </w:rPr>
        <w:t xml:space="preserve"> מצאו את דרכם אל יצירתו של מקארתי ואף נקשרו הדוקות אל ייצוגי האלימות הקשים. המדובר במהלך ספרותי ייחודי, המספק, לטענתי, מעין "גושפנקה מדעית" מצידו של היוצר לאלימות המוצגת, ואשר את אותותיו ניתן לאתר לאורך כלל יצירתו של הסופר. מהלך זה אף מחזק את ההנחה המהותנית העולה מהיצירות בדבר היותה של האלימות האנושית, בראש ובראשונה, תולדה של טבע אנושי נוקשה ומחייב, ולפיכך, מן הראוי גם לייצגה ולחוקרה בכליהן המדוייקים של הדיסציפלינות המדעיות השונות. הנחה מהותנית מסוג זה יש בה, כפי שנראה, משום ערעור על תפיסות סביבתיות מקובלות, הרואות בסביבה החיצונית את </w:t>
      </w:r>
      <w:r w:rsidRPr="00647869">
        <w:rPr>
          <w:rFonts w:ascii="Arial" w:eastAsia="Calibri" w:hAnsi="Arial" w:cs="David" w:hint="cs"/>
          <w:sz w:val="24"/>
          <w:szCs w:val="24"/>
          <w:rtl/>
        </w:rPr>
        <w:lastRenderedPageBreak/>
        <w:t xml:space="preserve">הגורם המרכזי להיווצרות האלימות, והמאמינות בכוחן של התערבויות חברתיות מעצימות לשלוט ולמגר את התופעה. לפיכך, הסתמכותו האומנותית של מקארתי דווקא על מוטיבים מעולם המדע מעידה כי בעולמו הספרותי שלטת תפיסה דטרמיניסטית קיצונית, המבטלת, למעשה, כל הנחה בדבר רצון חופשי או אחריות אישית של הפרט להתנהגותו האלימה. תפיסה זו משייכת בהכרח את האלימות המוצגת אל מנגנונים טבעיים ומוּבְנִים, שלאדם ולחברה שליטה מוגבלת בהם.  </w:t>
      </w:r>
    </w:p>
    <w:p w:rsidR="00647869" w:rsidRPr="00647869" w:rsidRDefault="00647869" w:rsidP="00647869">
      <w:pPr>
        <w:spacing w:after="0" w:line="480" w:lineRule="auto"/>
        <w:jc w:val="both"/>
        <w:rPr>
          <w:rFonts w:ascii="Calibri" w:eastAsia="Calibri" w:hAnsi="Calibri" w:cs="David"/>
          <w:sz w:val="24"/>
          <w:szCs w:val="24"/>
          <w:rtl/>
        </w:rPr>
      </w:pPr>
      <w:r w:rsidRPr="00647869">
        <w:rPr>
          <w:rFonts w:ascii="Calibri" w:eastAsia="Calibri" w:hAnsi="Calibri" w:cs="David" w:hint="cs"/>
          <w:sz w:val="24"/>
          <w:szCs w:val="24"/>
          <w:rtl/>
        </w:rPr>
        <w:tab/>
        <w:t>מטרת המחקר תהיה</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אם כך</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לנסות ולספק ניתוח אלטרנטיבי לייצוגי האלימות המופיעים בחזית יצירתו של הסופר</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ולהציע טענה חדשנית באשר לתפיסת העולם המוצגת ביצירות. חדשנות המחקר נובעת בעיקרה מניגודו הבולט למרבית המחקרים שנערכו עד כה על יצירתו של מקארתי, אשר מיקדו את רוב עיסוקם בגורמים סביבתיים לאלימות</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ובמשתנים חברתיים ופסיכולוגיים שתורמים לה</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ואשר נטו לרוב להתעלם מגורמים ביולוגיים אינהרנטיים או אף לשלול אותם. מחקרים אלו התעלמו כמעט לחלוטין מהשיח המדעי ומהשלכותיו הקיצוניות על ספרותו של מקארתי,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ולכן החטיאו</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לטעמי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באפיון תפיסת האלימות העולה מהיצירות. שיח</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סביבתי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 xml:space="preserve">זה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אשר עליו עוד ארחיב בהמשך המחקר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תופס מקום חשוב בעבודתם של מרבית חוקריו של מקארתי,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וניתן לאפיינו באורח הכוללני ביותר כמושתת</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ביסודו על מחקריהם של הוגים כז</w:t>
      </w:r>
      <w:r w:rsidRPr="00647869">
        <w:rPr>
          <w:rFonts w:ascii="Calibri" w:eastAsia="Calibri" w:hAnsi="Calibri" w:cs="David"/>
          <w:sz w:val="24"/>
          <w:szCs w:val="24"/>
          <w:rtl/>
        </w:rPr>
        <w:t>'</w:t>
      </w:r>
      <w:r w:rsidRPr="00647869">
        <w:rPr>
          <w:rFonts w:ascii="Calibri" w:eastAsia="Calibri" w:hAnsi="Calibri" w:cs="David" w:hint="cs"/>
          <w:sz w:val="24"/>
          <w:szCs w:val="24"/>
          <w:rtl/>
        </w:rPr>
        <w:t>אק דרידה ומישל פוקו</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אשר ביקשו אף הם להציג את האלימות האנושית ככזו שמקורה בשפה ובשיח,</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או כנובעת מפעולתם של מנגנוני כח מדכאים המעצבים את פניה של החברה המודרנית</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מחקרי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לעומת זאת</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 xml:space="preserve">יתמקד דווקא בייצוגי האלימות האישית והישירה </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כלומר</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באותם ייצוגים קשים של קרבות סכינים</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של חילופי יריות ושל רקמות גוף מרוטשות</w:t>
      </w:r>
      <w:r w:rsidRPr="00647869">
        <w:rPr>
          <w:rFonts w:ascii="Calibri" w:eastAsia="Calibri" w:hAnsi="Calibri" w:cs="David"/>
          <w:sz w:val="24"/>
          <w:szCs w:val="24"/>
          <w:rtl/>
        </w:rPr>
        <w:t xml:space="preserve"> – </w:t>
      </w:r>
      <w:r w:rsidRPr="00647869">
        <w:rPr>
          <w:rFonts w:ascii="Calibri" w:eastAsia="Calibri" w:hAnsi="Calibri" w:cs="David" w:hint="cs"/>
          <w:sz w:val="24"/>
          <w:szCs w:val="24"/>
          <w:rtl/>
        </w:rPr>
        <w:t>אשר הינם כה אופייניים לכתיבתו של מקארתי</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ואשר קישורם התכוף אל השיח המדעי שב ומנתק אותם מגורמים סביבתיים חיצוניים.</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מדובר</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אפוא</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בכיוון מחקרי שונה</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המתמקד באופייה הישיר והאישי של האלימות</w:t>
      </w:r>
      <w:r w:rsidRPr="00647869">
        <w:rPr>
          <w:rFonts w:ascii="Calibri" w:eastAsia="Calibri" w:hAnsi="Calibri" w:cs="David"/>
          <w:sz w:val="24"/>
          <w:szCs w:val="24"/>
          <w:rtl/>
        </w:rPr>
        <w:t xml:space="preserve"> </w:t>
      </w:r>
      <w:r w:rsidRPr="00647869">
        <w:rPr>
          <w:rFonts w:ascii="Calibri" w:eastAsia="Calibri" w:hAnsi="Calibri" w:cs="David" w:hint="cs"/>
          <w:sz w:val="24"/>
          <w:szCs w:val="24"/>
          <w:rtl/>
        </w:rPr>
        <w:t xml:space="preserve">ובהתכתבותו הברורה של השיח הספרותי עם זה המדעי. </w:t>
      </w:r>
    </w:p>
    <w:p w:rsidR="00647869" w:rsidRPr="00647869" w:rsidRDefault="00647869" w:rsidP="00647869">
      <w:pPr>
        <w:tabs>
          <w:tab w:val="left" w:pos="7170"/>
        </w:tabs>
        <w:spacing w:after="0" w:line="480" w:lineRule="auto"/>
        <w:jc w:val="both"/>
        <w:rPr>
          <w:rFonts w:ascii="Calibri" w:eastAsia="Calibri" w:hAnsi="Calibri" w:cs="David"/>
          <w:sz w:val="24"/>
          <w:szCs w:val="24"/>
          <w:rtl/>
        </w:rPr>
      </w:pPr>
      <w:r w:rsidRPr="00647869">
        <w:rPr>
          <w:rFonts w:ascii="Calibri" w:eastAsia="Calibri" w:hAnsi="Calibri" w:cs="David" w:hint="cs"/>
          <w:sz w:val="24"/>
          <w:szCs w:val="24"/>
          <w:rtl/>
        </w:rPr>
        <w:t xml:space="preserve">            ההקבלה המוצעת במחקר זה בין השיח המדעי לבין זה הספרותי מזכירה, בצורה מסויימת, את זו הנעשית במחקרים מולטי-דיסציפלינריים רחבים, אשר בהם חוברות שתי דיסציפלינות מחקר שונות, משתפות פעולה זו עם זו ומשוות בין תחומי החקר השונים. מחקרים מולטי-דיסציפלינריים מסוג זה מבוססים בעיקרם על ההנחה כי "אף דיסציפלינה אינה אי בפני עצמו", וכי שיח פופולארי של דיסציפלינה אחת גולש בהכרח ונמזג בזה של דיסציפלינות אחרות. ואולם, ראוי לציין גם כי המחקר שלהלן נטוע כולו, הן מבחינת חומריו והן מבחינת דרכי עבודתו, </w:t>
      </w:r>
      <w:r w:rsidRPr="00647869">
        <w:rPr>
          <w:rFonts w:ascii="Calibri" w:eastAsia="Calibri" w:hAnsi="Calibri" w:cs="David" w:hint="cs"/>
          <w:sz w:val="24"/>
          <w:szCs w:val="24"/>
          <w:rtl/>
        </w:rPr>
        <w:lastRenderedPageBreak/>
        <w:t>עמוקות בתחום עולם החקר של תורת הספרות, וכי התמקדותי בייצוגי השיח המדעי ביצירה הכתובה מיועדת, בראש ובראשונה, לחשוף את המשמעויות האידיאולוגיות הנובעות משימוש בשיח זה, ולספק ניתוח אלטרנטיבי לתופעת האלימות ביצירה הספרותית. מדובר, אם כן, במחקר ספרותי במהותו, אשר עשוי אף להדגיש את הקשר הסימביוטי והמורכב שבין היצירה הספרותית לבין סוגים שונים של שיח מדעי.</w:t>
      </w:r>
    </w:p>
    <w:p w:rsidR="00647869" w:rsidRPr="00647869" w:rsidRDefault="00647869" w:rsidP="00647869">
      <w:pPr>
        <w:tabs>
          <w:tab w:val="left" w:pos="7170"/>
        </w:tabs>
        <w:spacing w:before="100" w:beforeAutospacing="1" w:line="480" w:lineRule="auto"/>
        <w:jc w:val="both"/>
        <w:rPr>
          <w:rFonts w:ascii="Calibri" w:eastAsia="Calibri" w:hAnsi="Calibri" w:cs="David"/>
          <w:sz w:val="24"/>
          <w:szCs w:val="24"/>
          <w:rtl/>
        </w:rPr>
      </w:pPr>
      <w:r w:rsidRPr="00647869">
        <w:rPr>
          <w:rFonts w:ascii="Calibri" w:eastAsia="Calibri" w:hAnsi="Calibri" w:cs="David" w:hint="cs"/>
          <w:sz w:val="24"/>
          <w:szCs w:val="24"/>
          <w:rtl/>
        </w:rPr>
        <w:t xml:space="preserve">          שלושת הפרקים הראשונים במחקר מכילים דוגמאות לתת-דיסציפלינות מדעיות מודרניות ולמקומן של אלו בעולמו הספרותי של היוצר. הפרק הראשון, למשל, עוסק בתת-הדיסציפלינה החדשה יחסית של "תורת המשחקים", אשר החלה לקרום עור וגידים באמצע המאה העשרים, שנים ספורות לפני שהחל מקארתי בפעילותו הספרותית. תת-דיסציפלינה מדעית זו זכתה לחשיפה תרבותית רחבה בארצות-הברית בימיה המתוחים של המלחמה הקרה, עת עמלו המדענים והחוקרים השונים על חישוב ההסתברויות לעימות ישיר בין המעצמות ועל אסטרטגיות יעילות לניהול נכון של עימות מסוג זה (או למניעתו). בפרק זה של העבודה אראה כיצד חדרו הטרמינולוגיה המתמטית ועולם הדימויים המובהק של "תורת המשחקים"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למשל, משחקי המטבע, ההימורים הקטלניים ו"משחקי סכום אפס" למיניהם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אל עולמו הספרותי של מקארתי, כיצד אלה הוקצנו ושוכללו בו, וכיצד הכתיבו בהכרח תפיסת עולם קודרת, אלימה ודטרמיניסטית באופייה. </w:t>
      </w:r>
    </w:p>
    <w:p w:rsidR="00647869" w:rsidRPr="00647869" w:rsidRDefault="00647869" w:rsidP="00647869">
      <w:pPr>
        <w:tabs>
          <w:tab w:val="left" w:pos="7170"/>
        </w:tabs>
        <w:spacing w:before="100" w:beforeAutospacing="1" w:line="480" w:lineRule="auto"/>
        <w:jc w:val="both"/>
        <w:rPr>
          <w:rFonts w:ascii="Calibri" w:eastAsia="Calibri" w:hAnsi="Calibri" w:cs="David"/>
          <w:sz w:val="24"/>
          <w:szCs w:val="24"/>
          <w:rtl/>
        </w:rPr>
      </w:pPr>
      <w:r w:rsidRPr="00647869">
        <w:rPr>
          <w:rFonts w:ascii="Calibri" w:eastAsia="Calibri" w:hAnsi="Calibri" w:cs="David" w:hint="cs"/>
          <w:sz w:val="24"/>
          <w:szCs w:val="24"/>
          <w:rtl/>
        </w:rPr>
        <w:t xml:space="preserve">          הפרק השני בעבודה עוסק בשיח הגנטי המודרני, אשר זכה לתהודה רבה ולפרסום לאורך המאה העשרים, ואשר נחשב עד היום לאחד מסמליו הידועים והשנויים במחלוקת של העידן המודרני. בפרק זה אראה כיצד חדרו דימויים מדעיים פופולאריים, ובמיוחד אלו אשר פורסמו ברבי-המכר של המדען הבריטי ריצ'ארד דוקינס, אל ספרותו האלימה של מקארתי, כיצד הוקצנו ולעיתים אף עוותו בה, וכיצד אומצה וזכתה לייצוג הגישה הבעייתית הדוגלת בדטרמיניזם גנטי קיצוני. פרק זה יתבסס בעיקרו על ייצוגים וביטויים מדעיים אשר זכו להד ביצירה הספרותית, ועל חשיפתן של תימות וסוגיות מרכזיות במשנה הגנטית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דוגמת סוגיית קישורו של האדם אל הקוף האלים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אשר זכו לביטוי בולט ביצירתו של מקארתי. </w:t>
      </w:r>
    </w:p>
    <w:p w:rsidR="00647869" w:rsidRPr="00647869" w:rsidRDefault="00647869" w:rsidP="00647869">
      <w:pPr>
        <w:tabs>
          <w:tab w:val="left" w:pos="7170"/>
        </w:tabs>
        <w:spacing w:after="0" w:line="480" w:lineRule="auto"/>
        <w:jc w:val="both"/>
        <w:rPr>
          <w:rFonts w:ascii="Calibri" w:eastAsia="Calibri" w:hAnsi="Calibri" w:cs="David"/>
          <w:sz w:val="24"/>
          <w:szCs w:val="24"/>
          <w:rtl/>
        </w:rPr>
      </w:pPr>
      <w:r w:rsidRPr="00647869">
        <w:rPr>
          <w:rFonts w:ascii="Calibri" w:eastAsia="Calibri" w:hAnsi="Calibri" w:cs="David" w:hint="cs"/>
          <w:sz w:val="24"/>
          <w:szCs w:val="24"/>
          <w:rtl/>
        </w:rPr>
        <w:t xml:space="preserve">         הפרק השלישי בעבודתי עוסק בתת-הדיסציפלינה הקלינית החדשה המתמקדת בחקר עולמם של פסיכופתים, כאשר גם כאן המדובר בשיח מדעי מודרני, אשר זכה להד נרחב בשיח התרבותי של המאה העשרים ובייצוגי האומנות השונים. בפרק זה נדונה השאלה כיצד חדרה </w:t>
      </w:r>
      <w:r w:rsidRPr="00647869">
        <w:rPr>
          <w:rFonts w:ascii="Calibri" w:eastAsia="Calibri" w:hAnsi="Calibri" w:cs="David" w:hint="cs"/>
          <w:sz w:val="24"/>
          <w:szCs w:val="24"/>
          <w:rtl/>
        </w:rPr>
        <w:lastRenderedPageBreak/>
        <w:t xml:space="preserve">הטרמינולוגיה המובהקת של פסיכיאטרים ושל קרימינולוגים אל עולמו הספרותי של מקארתי, ונבחנת גם ההקבלה יוצאת הדופן שיש בין התנהגותן וצורת התבטאותן של הדמויות האלימות אצל מקארתי לבין אלו המתוארות במשנה המדעית והמופיעות אף במקרים האמיתיים שנחשפו בעיתונות ובספרי המחקר השונים. בפרק הרביעי והאחרון תסוכמנה התובנות משלושת הפרקים השונים, ותבחן מחדש אף תפיסת העולם הכוללת המשתקפת מחיבור זה שבין התורה המדעית לבין היצירה הספרותית. </w:t>
      </w:r>
    </w:p>
    <w:p w:rsidR="00647869" w:rsidRPr="00647869" w:rsidRDefault="00647869" w:rsidP="00647869">
      <w:pPr>
        <w:tabs>
          <w:tab w:val="left" w:pos="7170"/>
        </w:tabs>
        <w:spacing w:after="0" w:line="480" w:lineRule="auto"/>
        <w:jc w:val="both"/>
        <w:rPr>
          <w:rFonts w:ascii="Arial" w:eastAsia="Calibri" w:hAnsi="Arial" w:cs="David"/>
          <w:sz w:val="24"/>
          <w:szCs w:val="24"/>
        </w:rPr>
      </w:pPr>
      <w:r w:rsidRPr="00647869">
        <w:rPr>
          <w:rFonts w:ascii="Calibri" w:eastAsia="Calibri" w:hAnsi="Calibri" w:cs="David" w:hint="cs"/>
          <w:sz w:val="24"/>
          <w:szCs w:val="24"/>
          <w:rtl/>
        </w:rPr>
        <w:t xml:space="preserve">          לסיכום, אציין כי התרומה המחקרית המרכזית הגלומה בעבודתי נוגעת לניתוח הייחודי של אחד המוטיבים הספרותיים המרכזיים ביצירתו של מקארתי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האלימות, ולחידוד מורכבותו ועושרו של הטקסט הספרותי. הקישור שבין ייצוגי האלימות לבין הייצוגים המדעיים, והגדרתו של העולם המתואר כמובנה וכדטרמיניסטי באופיו, עשויים אף לתרום לדיון הער המתקיים כיום בין חוקריו השונים של מקארתי באשר למידת המוסריות המגולמת בספריו </w:t>
      </w:r>
      <w:r w:rsidRPr="00647869">
        <w:rPr>
          <w:rFonts w:ascii="Calibri" w:eastAsia="Calibri" w:hAnsi="Calibri" w:cs="David"/>
          <w:sz w:val="24"/>
          <w:szCs w:val="24"/>
          <w:rtl/>
        </w:rPr>
        <w:t>–</w:t>
      </w:r>
      <w:r w:rsidRPr="00647869">
        <w:rPr>
          <w:rFonts w:ascii="Calibri" w:eastAsia="Calibri" w:hAnsi="Calibri" w:cs="David" w:hint="cs"/>
          <w:sz w:val="24"/>
          <w:szCs w:val="24"/>
          <w:rtl/>
        </w:rPr>
        <w:t xml:space="preserve"> דיון אשר עליו ארחיב לאורך המחקר. זאת ועוד, מחקר זה ותובנותיו באשר לייצוגי האלימות הקשים עשויים אף למקם את מקארתי בחזיתו של גל קיצוני ו"אלים" בספרות העכשווית, וכנציגו המובהק של הלך רוח אומנותי המאפיין חלק ניכר מהספרות האמריקאית בעשורים האחרונים. </w:t>
      </w:r>
      <w:r w:rsidRPr="00647869">
        <w:rPr>
          <w:rFonts w:ascii="Arial" w:eastAsia="Calibri" w:hAnsi="Arial" w:cs="David" w:hint="cs"/>
          <w:sz w:val="24"/>
          <w:szCs w:val="24"/>
          <w:rtl/>
        </w:rPr>
        <w:t xml:space="preserve">על מקורותיו של </w:t>
      </w:r>
      <w:r w:rsidRPr="00647869">
        <w:rPr>
          <w:rFonts w:ascii="Arial" w:eastAsia="Calibri" w:hAnsi="Arial" w:cs="David"/>
          <w:sz w:val="24"/>
          <w:szCs w:val="24"/>
          <w:rtl/>
        </w:rPr>
        <w:t xml:space="preserve">גל </w:t>
      </w:r>
      <w:r w:rsidRPr="00647869">
        <w:rPr>
          <w:rFonts w:ascii="Arial" w:eastAsia="Calibri" w:hAnsi="Arial" w:cs="David" w:hint="cs"/>
          <w:sz w:val="24"/>
          <w:szCs w:val="24"/>
          <w:rtl/>
        </w:rPr>
        <w:t xml:space="preserve">עכשווי ו"אלים" </w:t>
      </w:r>
      <w:r w:rsidRPr="00647869">
        <w:rPr>
          <w:rFonts w:ascii="Arial" w:eastAsia="Calibri" w:hAnsi="Arial" w:cs="David"/>
          <w:sz w:val="24"/>
          <w:szCs w:val="24"/>
          <w:rtl/>
        </w:rPr>
        <w:t xml:space="preserve">זה </w:t>
      </w:r>
      <w:r w:rsidRPr="00647869">
        <w:rPr>
          <w:rFonts w:ascii="Arial" w:eastAsia="Calibri" w:hAnsi="Arial" w:cs="David" w:hint="cs"/>
          <w:sz w:val="24"/>
          <w:szCs w:val="24"/>
          <w:rtl/>
        </w:rPr>
        <w:t xml:space="preserve">ועל מקומו הייחודי של מקארתי בנוף האינטלקטואלי של תקופתו ארחיב את הדיבור  בשלב הסיכום של המחקר. </w:t>
      </w:r>
    </w:p>
    <w:p w:rsidR="00647869" w:rsidRPr="00647869" w:rsidRDefault="00647869" w:rsidP="00647869">
      <w:pPr>
        <w:spacing w:after="0" w:line="360" w:lineRule="auto"/>
        <w:rPr>
          <w:rFonts w:ascii="Arial" w:eastAsia="Calibri" w:hAnsi="Arial" w:cs="David"/>
          <w:sz w:val="28"/>
          <w:szCs w:val="28"/>
          <w:rtl/>
        </w:rPr>
      </w:pPr>
    </w:p>
    <w:p w:rsidR="00647869" w:rsidRPr="00647869" w:rsidRDefault="00647869" w:rsidP="00647869">
      <w:pPr>
        <w:tabs>
          <w:tab w:val="left" w:pos="7170"/>
        </w:tabs>
        <w:spacing w:after="0" w:line="480" w:lineRule="auto"/>
        <w:jc w:val="both"/>
        <w:rPr>
          <w:rFonts w:ascii="Calibri" w:eastAsia="Calibri" w:hAnsi="Calibri" w:cs="David"/>
          <w:sz w:val="24"/>
          <w:szCs w:val="24"/>
          <w:rtl/>
        </w:rPr>
      </w:pPr>
    </w:p>
    <w:p w:rsidR="00647869" w:rsidRPr="00647869" w:rsidRDefault="00647869" w:rsidP="00647869">
      <w:pPr>
        <w:tabs>
          <w:tab w:val="left" w:pos="7170"/>
        </w:tabs>
        <w:spacing w:after="0" w:line="480" w:lineRule="auto"/>
        <w:jc w:val="both"/>
        <w:rPr>
          <w:rFonts w:ascii="Calibri" w:eastAsia="Calibri" w:hAnsi="Calibri" w:cs="David"/>
          <w:sz w:val="24"/>
          <w:szCs w:val="24"/>
          <w:rtl/>
        </w:rPr>
      </w:pPr>
    </w:p>
    <w:p w:rsidR="00647869" w:rsidRPr="00647869" w:rsidRDefault="00647869" w:rsidP="00647869">
      <w:pPr>
        <w:spacing w:after="0" w:line="480" w:lineRule="auto"/>
        <w:jc w:val="both"/>
        <w:rPr>
          <w:rFonts w:ascii="Calibri" w:eastAsia="Calibri" w:hAnsi="Calibri" w:cs="David"/>
          <w:sz w:val="24"/>
          <w:szCs w:val="24"/>
          <w:rtl/>
        </w:rPr>
      </w:pPr>
    </w:p>
    <w:p w:rsidR="00647869" w:rsidRPr="00647869" w:rsidRDefault="00647869" w:rsidP="00647869">
      <w:pPr>
        <w:rPr>
          <w:rFonts w:ascii="Calibri" w:eastAsia="Calibri" w:hAnsi="Calibri" w:cs="Arial"/>
        </w:rPr>
      </w:pPr>
    </w:p>
    <w:p w:rsidR="00647869" w:rsidRPr="00647869" w:rsidRDefault="00647869" w:rsidP="00647869">
      <w:pPr>
        <w:rPr>
          <w:rFonts w:ascii="Calibri" w:eastAsia="Calibri" w:hAnsi="Calibri" w:cs="Arial"/>
          <w:rtl/>
        </w:rPr>
        <w:sectPr w:rsidR="00647869" w:rsidRPr="00647869" w:rsidSect="008C760A">
          <w:headerReference w:type="default" r:id="rId7"/>
          <w:footerReference w:type="default" r:id="rId8"/>
          <w:pgSz w:w="11906" w:h="16838"/>
          <w:pgMar w:top="1440" w:right="1800" w:bottom="1440" w:left="1800" w:header="708" w:footer="708" w:gutter="0"/>
          <w:pgNumType w:fmt="hebrew1" w:start="1"/>
          <w:cols w:space="708"/>
          <w:bidi/>
          <w:rtlGutter/>
          <w:docGrid w:linePitch="360"/>
        </w:sectPr>
      </w:pPr>
    </w:p>
    <w:p w:rsidR="00765721" w:rsidRDefault="00765721"/>
    <w:sectPr w:rsidR="00765721" w:rsidSect="001542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54" w:rsidRDefault="00D82954">
      <w:pPr>
        <w:spacing w:after="0" w:line="240" w:lineRule="auto"/>
      </w:pPr>
      <w:r>
        <w:separator/>
      </w:r>
    </w:p>
  </w:endnote>
  <w:endnote w:type="continuationSeparator" w:id="0">
    <w:p w:rsidR="00D82954" w:rsidRDefault="00D8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9662760"/>
      <w:docPartObj>
        <w:docPartGallery w:val="Page Numbers (Bottom of Page)"/>
        <w:docPartUnique/>
      </w:docPartObj>
    </w:sdtPr>
    <w:sdtEndPr>
      <w:rPr>
        <w:cs/>
      </w:rPr>
    </w:sdtEndPr>
    <w:sdtContent>
      <w:p w:rsidR="008D5328" w:rsidRDefault="00712AF3">
        <w:pPr>
          <w:pStyle w:val="a5"/>
          <w:jc w:val="center"/>
          <w:rPr>
            <w:rtl/>
            <w:cs/>
          </w:rPr>
        </w:pPr>
        <w:r>
          <w:fldChar w:fldCharType="begin"/>
        </w:r>
        <w:r>
          <w:rPr>
            <w:rtl/>
            <w:cs/>
          </w:rPr>
          <w:instrText>PAGE   \* MERGEFORMAT</w:instrText>
        </w:r>
        <w:r>
          <w:fldChar w:fldCharType="separate"/>
        </w:r>
        <w:r w:rsidR="005A75EF" w:rsidRPr="005A75EF">
          <w:rPr>
            <w:rFonts w:hint="cs"/>
            <w:noProof/>
            <w:rtl/>
            <w:lang w:val="he-IL"/>
          </w:rPr>
          <w:t>א</w:t>
        </w:r>
        <w:r>
          <w:fldChar w:fldCharType="end"/>
        </w:r>
      </w:p>
    </w:sdtContent>
  </w:sdt>
  <w:p w:rsidR="008D5328" w:rsidRDefault="00D82954" w:rsidP="00F47F34">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54" w:rsidRDefault="00D82954">
      <w:pPr>
        <w:spacing w:after="0" w:line="240" w:lineRule="auto"/>
      </w:pPr>
      <w:r>
        <w:separator/>
      </w:r>
    </w:p>
  </w:footnote>
  <w:footnote w:type="continuationSeparator" w:id="0">
    <w:p w:rsidR="00D82954" w:rsidRDefault="00D82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28" w:rsidRDefault="00D82954" w:rsidP="00F47F34">
    <w:pPr>
      <w:pStyle w:val="a3"/>
      <w:jc w:val="right"/>
    </w:pPr>
  </w:p>
  <w:p w:rsidR="008D5328" w:rsidRDefault="00D829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869"/>
    <w:rsid w:val="00053102"/>
    <w:rsid w:val="001542BA"/>
    <w:rsid w:val="00191396"/>
    <w:rsid w:val="003F1077"/>
    <w:rsid w:val="005A75EF"/>
    <w:rsid w:val="00647869"/>
    <w:rsid w:val="006B4B32"/>
    <w:rsid w:val="00712AF3"/>
    <w:rsid w:val="00765721"/>
    <w:rsid w:val="00BA4BBA"/>
    <w:rsid w:val="00C13F75"/>
    <w:rsid w:val="00D829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869"/>
    <w:pPr>
      <w:tabs>
        <w:tab w:val="center" w:pos="4153"/>
        <w:tab w:val="right" w:pos="8306"/>
      </w:tabs>
      <w:spacing w:after="0" w:line="240" w:lineRule="auto"/>
    </w:pPr>
  </w:style>
  <w:style w:type="character" w:customStyle="1" w:styleId="a4">
    <w:name w:val="כותרת עליונה תו"/>
    <w:basedOn w:val="a0"/>
    <w:link w:val="a3"/>
    <w:uiPriority w:val="99"/>
    <w:rsid w:val="00647869"/>
  </w:style>
  <w:style w:type="paragraph" w:styleId="a5">
    <w:name w:val="footer"/>
    <w:basedOn w:val="a"/>
    <w:link w:val="a6"/>
    <w:uiPriority w:val="99"/>
    <w:unhideWhenUsed/>
    <w:rsid w:val="00647869"/>
    <w:pPr>
      <w:tabs>
        <w:tab w:val="center" w:pos="4153"/>
        <w:tab w:val="right" w:pos="8306"/>
      </w:tabs>
      <w:spacing w:after="0" w:line="240" w:lineRule="auto"/>
    </w:pPr>
  </w:style>
  <w:style w:type="character" w:customStyle="1" w:styleId="a6">
    <w:name w:val="כותרת תחתונה תו"/>
    <w:basedOn w:val="a0"/>
    <w:link w:val="a5"/>
    <w:uiPriority w:val="99"/>
    <w:rsid w:val="00647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869"/>
    <w:pPr>
      <w:tabs>
        <w:tab w:val="center" w:pos="4153"/>
        <w:tab w:val="right" w:pos="8306"/>
      </w:tabs>
      <w:spacing w:after="0" w:line="240" w:lineRule="auto"/>
    </w:pPr>
  </w:style>
  <w:style w:type="character" w:customStyle="1" w:styleId="a4">
    <w:name w:val="כותרת עליונה תו"/>
    <w:basedOn w:val="a0"/>
    <w:link w:val="a3"/>
    <w:uiPriority w:val="99"/>
    <w:rsid w:val="00647869"/>
  </w:style>
  <w:style w:type="paragraph" w:styleId="a5">
    <w:name w:val="footer"/>
    <w:basedOn w:val="a"/>
    <w:link w:val="a6"/>
    <w:uiPriority w:val="99"/>
    <w:unhideWhenUsed/>
    <w:rsid w:val="00647869"/>
    <w:pPr>
      <w:tabs>
        <w:tab w:val="center" w:pos="4153"/>
        <w:tab w:val="right" w:pos="8306"/>
      </w:tabs>
      <w:spacing w:after="0" w:line="240" w:lineRule="auto"/>
    </w:pPr>
  </w:style>
  <w:style w:type="character" w:customStyle="1" w:styleId="a6">
    <w:name w:val="כותרת תחתונה תו"/>
    <w:basedOn w:val="a0"/>
    <w:link w:val="a5"/>
    <w:uiPriority w:val="99"/>
    <w:rsid w:val="0064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6010</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TAU - CenLib - Librarian</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Student@CenLib</dc:creator>
  <cp:lastModifiedBy>Windows User</cp:lastModifiedBy>
  <cp:revision>2</cp:revision>
  <cp:lastPrinted>2015-10-20T09:39:00Z</cp:lastPrinted>
  <dcterms:created xsi:type="dcterms:W3CDTF">2017-01-31T11:13:00Z</dcterms:created>
  <dcterms:modified xsi:type="dcterms:W3CDTF">2017-01-31T11:13:00Z</dcterms:modified>
</cp:coreProperties>
</file>