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5B" w:rsidRDefault="00462D5B" w:rsidP="00F1190F">
      <w:pPr>
        <w:spacing w:after="0" w:line="360" w:lineRule="auto"/>
        <w:contextualSpacing/>
        <w:jc w:val="both"/>
        <w:rPr>
          <w:rFonts w:ascii="Times New Roman" w:eastAsia="Calibri" w:hAnsi="Times New Roman" w:cs="Times New Roman"/>
          <w:sz w:val="24"/>
          <w:szCs w:val="24"/>
          <w:rtl/>
        </w:rPr>
      </w:pPr>
      <w:bookmarkStart w:id="0" w:name="_GoBack"/>
      <w:bookmarkEnd w:id="0"/>
    </w:p>
    <w:p w:rsidR="00462D5B" w:rsidRDefault="00462D5B" w:rsidP="00462D5B">
      <w:pPr>
        <w:autoSpaceDE w:val="0"/>
        <w:autoSpaceDN w:val="0"/>
        <w:adjustRightInd w:val="0"/>
        <w:spacing w:after="0"/>
        <w:contextualSpacing/>
        <w:jc w:val="center"/>
        <w:rPr>
          <w:rFonts w:ascii="Times New Roman" w:hAnsi="Times New Roman" w:cs="Times New Roman"/>
          <w:sz w:val="24"/>
          <w:szCs w:val="24"/>
        </w:rPr>
      </w:pPr>
      <w:r>
        <w:rPr>
          <w:rFonts w:ascii="Times New Roman" w:hAnsi="Times New Roman" w:cs="Times New Roman"/>
          <w:sz w:val="24"/>
          <w:szCs w:val="24"/>
          <w:rtl/>
        </w:rPr>
        <w:t>אוניברסיטת</w:t>
      </w:r>
      <w:r>
        <w:rPr>
          <w:rFonts w:ascii="Times New Roman" w:hAnsi="Times New Roman" w:cs="Times New Roman"/>
          <w:sz w:val="24"/>
          <w:szCs w:val="24"/>
        </w:rPr>
        <w:t xml:space="preserve"> </w:t>
      </w:r>
      <w:r>
        <w:rPr>
          <w:rFonts w:ascii="Times New Roman" w:hAnsi="Times New Roman" w:cs="Times New Roman"/>
          <w:sz w:val="24"/>
          <w:szCs w:val="24"/>
          <w:rtl/>
        </w:rPr>
        <w:t>תל</w:t>
      </w:r>
      <w:r>
        <w:rPr>
          <w:rFonts w:ascii="Times New Roman" w:hAnsi="Times New Roman" w:cs="Times New Roman"/>
          <w:sz w:val="24"/>
          <w:szCs w:val="24"/>
        </w:rPr>
        <w:t>-</w:t>
      </w:r>
      <w:r>
        <w:rPr>
          <w:rFonts w:ascii="Times New Roman" w:hAnsi="Times New Roman" w:cs="Times New Roman"/>
          <w:sz w:val="24"/>
          <w:szCs w:val="24"/>
          <w:rtl/>
        </w:rPr>
        <w:t>אביב</w:t>
      </w:r>
    </w:p>
    <w:p w:rsidR="00462D5B" w:rsidRDefault="00462D5B" w:rsidP="00462D5B">
      <w:pPr>
        <w:autoSpaceDE w:val="0"/>
        <w:autoSpaceDN w:val="0"/>
        <w:adjustRightInd w:val="0"/>
        <w:spacing w:after="0"/>
        <w:contextualSpacing/>
        <w:jc w:val="center"/>
        <w:rPr>
          <w:rFonts w:ascii="Times New Roman" w:hAnsi="Times New Roman" w:cs="Times New Roman"/>
          <w:sz w:val="24"/>
          <w:szCs w:val="24"/>
        </w:rPr>
      </w:pPr>
      <w:r>
        <w:rPr>
          <w:rFonts w:ascii="Times New Roman" w:hAnsi="Times New Roman" w:cs="Times New Roman"/>
          <w:sz w:val="24"/>
          <w:szCs w:val="24"/>
          <w:rtl/>
        </w:rPr>
        <w:t>הפקולטה</w:t>
      </w:r>
      <w:r>
        <w:rPr>
          <w:rFonts w:ascii="Times New Roman" w:hAnsi="Times New Roman" w:cs="Times New Roman"/>
          <w:sz w:val="24"/>
          <w:szCs w:val="24"/>
        </w:rPr>
        <w:t xml:space="preserve"> </w:t>
      </w:r>
      <w:r>
        <w:rPr>
          <w:rFonts w:ascii="Times New Roman" w:hAnsi="Times New Roman" w:cs="Times New Roman"/>
          <w:sz w:val="24"/>
          <w:szCs w:val="24"/>
          <w:rtl/>
        </w:rPr>
        <w:t>למדעי</w:t>
      </w:r>
      <w:r>
        <w:rPr>
          <w:rFonts w:ascii="Times New Roman" w:hAnsi="Times New Roman" w:cs="Times New Roman"/>
          <w:sz w:val="24"/>
          <w:szCs w:val="24"/>
        </w:rPr>
        <w:t xml:space="preserve"> </w:t>
      </w:r>
      <w:r>
        <w:rPr>
          <w:rFonts w:ascii="Times New Roman" w:hAnsi="Times New Roman" w:cs="Times New Roman"/>
          <w:sz w:val="24"/>
          <w:szCs w:val="24"/>
          <w:rtl/>
        </w:rPr>
        <w:t>הרוח</w:t>
      </w:r>
      <w:r>
        <w:rPr>
          <w:rFonts w:ascii="Times New Roman" w:hAnsi="Times New Roman" w:cs="Times New Roman"/>
          <w:sz w:val="24"/>
          <w:szCs w:val="24"/>
        </w:rPr>
        <w:t xml:space="preserve"> </w:t>
      </w:r>
      <w:r>
        <w:rPr>
          <w:rFonts w:ascii="Times New Roman" w:hAnsi="Times New Roman" w:cs="Times New Roman"/>
          <w:sz w:val="24"/>
          <w:szCs w:val="24"/>
          <w:rtl/>
        </w:rPr>
        <w:t>ע</w:t>
      </w:r>
      <w:r>
        <w:rPr>
          <w:rFonts w:ascii="Times New Roman" w:hAnsi="Times New Roman" w:cs="Times New Roman"/>
          <w:sz w:val="24"/>
          <w:szCs w:val="24"/>
        </w:rPr>
        <w:t>"</w:t>
      </w:r>
      <w:r>
        <w:rPr>
          <w:rFonts w:ascii="Times New Roman" w:hAnsi="Times New Roman" w:cs="Times New Roman"/>
          <w:sz w:val="24"/>
          <w:szCs w:val="24"/>
          <w:rtl/>
        </w:rPr>
        <w:t>ש</w:t>
      </w:r>
      <w:r>
        <w:rPr>
          <w:rFonts w:ascii="Times New Roman" w:hAnsi="Times New Roman" w:cs="Times New Roman"/>
          <w:sz w:val="24"/>
          <w:szCs w:val="24"/>
        </w:rPr>
        <w:t xml:space="preserve"> </w:t>
      </w:r>
      <w:r>
        <w:rPr>
          <w:rFonts w:ascii="Times New Roman" w:hAnsi="Times New Roman" w:cs="Times New Roman"/>
          <w:sz w:val="24"/>
          <w:szCs w:val="24"/>
          <w:rtl/>
        </w:rPr>
        <w:t>לסטר</w:t>
      </w:r>
      <w:r>
        <w:rPr>
          <w:rFonts w:ascii="Times New Roman" w:hAnsi="Times New Roman" w:cs="Times New Roman"/>
          <w:sz w:val="24"/>
          <w:szCs w:val="24"/>
        </w:rPr>
        <w:t xml:space="preserve"> </w:t>
      </w:r>
      <w:r>
        <w:rPr>
          <w:rFonts w:ascii="Times New Roman" w:hAnsi="Times New Roman" w:cs="Times New Roman"/>
          <w:sz w:val="24"/>
          <w:szCs w:val="24"/>
          <w:rtl/>
        </w:rPr>
        <w:t>וסאלי</w:t>
      </w:r>
      <w:r>
        <w:rPr>
          <w:rFonts w:ascii="Times New Roman" w:hAnsi="Times New Roman" w:cs="Times New Roman"/>
          <w:sz w:val="24"/>
          <w:szCs w:val="24"/>
        </w:rPr>
        <w:t xml:space="preserve"> </w:t>
      </w:r>
      <w:r>
        <w:rPr>
          <w:rFonts w:ascii="Times New Roman" w:hAnsi="Times New Roman" w:cs="Times New Roman"/>
          <w:sz w:val="24"/>
          <w:szCs w:val="24"/>
          <w:rtl/>
        </w:rPr>
        <w:t>אנטין</w:t>
      </w:r>
    </w:p>
    <w:p w:rsidR="00462D5B" w:rsidRDefault="00462D5B" w:rsidP="00462D5B">
      <w:pPr>
        <w:spacing w:after="200"/>
        <w:contextualSpacing/>
        <w:jc w:val="center"/>
        <w:rPr>
          <w:rFonts w:ascii="Times New Roman" w:hAnsi="Times New Roman" w:cs="Times New Roman"/>
          <w:sz w:val="24"/>
          <w:szCs w:val="24"/>
        </w:rPr>
      </w:pPr>
      <w:r>
        <w:rPr>
          <w:rFonts w:ascii="Times New Roman" w:hAnsi="Times New Roman" w:cs="Times New Roman"/>
          <w:sz w:val="24"/>
          <w:szCs w:val="24"/>
          <w:rtl/>
        </w:rPr>
        <w:t>בית</w:t>
      </w:r>
      <w:r>
        <w:rPr>
          <w:rFonts w:ascii="Times New Roman" w:hAnsi="Times New Roman" w:cs="Times New Roman"/>
          <w:sz w:val="24"/>
          <w:szCs w:val="24"/>
        </w:rPr>
        <w:t xml:space="preserve"> </w:t>
      </w:r>
      <w:r>
        <w:rPr>
          <w:rFonts w:ascii="Times New Roman" w:hAnsi="Times New Roman" w:cs="Times New Roman"/>
          <w:sz w:val="24"/>
          <w:szCs w:val="24"/>
          <w:rtl/>
        </w:rPr>
        <w:t>הספר</w:t>
      </w:r>
      <w:r>
        <w:rPr>
          <w:rFonts w:ascii="Times New Roman" w:hAnsi="Times New Roman" w:cs="Times New Roman"/>
          <w:sz w:val="24"/>
          <w:szCs w:val="24"/>
        </w:rPr>
        <w:t xml:space="preserve"> </w:t>
      </w:r>
      <w:r>
        <w:rPr>
          <w:rFonts w:ascii="Times New Roman" w:hAnsi="Times New Roman" w:cs="Times New Roman"/>
          <w:sz w:val="24"/>
          <w:szCs w:val="24"/>
          <w:rtl/>
        </w:rPr>
        <w:t>למדעי</w:t>
      </w:r>
      <w:r>
        <w:rPr>
          <w:rFonts w:ascii="Times New Roman" w:hAnsi="Times New Roman" w:cs="Times New Roman"/>
          <w:sz w:val="24"/>
          <w:szCs w:val="24"/>
        </w:rPr>
        <w:t xml:space="preserve"> </w:t>
      </w:r>
      <w:r>
        <w:rPr>
          <w:rFonts w:ascii="Times New Roman" w:hAnsi="Times New Roman" w:cs="Times New Roman"/>
          <w:sz w:val="24"/>
          <w:szCs w:val="24"/>
          <w:rtl/>
        </w:rPr>
        <w:t>התרבות</w:t>
      </w:r>
      <w:r>
        <w:rPr>
          <w:rFonts w:ascii="Times New Roman" w:hAnsi="Times New Roman" w:cs="Times New Roman"/>
          <w:sz w:val="24"/>
          <w:szCs w:val="24"/>
        </w:rPr>
        <w:t xml:space="preserve"> </w:t>
      </w:r>
      <w:r>
        <w:rPr>
          <w:rFonts w:ascii="Times New Roman" w:hAnsi="Times New Roman" w:cs="Times New Roman"/>
          <w:sz w:val="24"/>
          <w:szCs w:val="24"/>
          <w:rtl/>
        </w:rPr>
        <w:t>ע</w:t>
      </w:r>
      <w:r>
        <w:rPr>
          <w:rFonts w:ascii="Times New Roman" w:hAnsi="Times New Roman" w:cs="Times New Roman"/>
          <w:sz w:val="24"/>
          <w:szCs w:val="24"/>
        </w:rPr>
        <w:t>"</w:t>
      </w:r>
      <w:r>
        <w:rPr>
          <w:rFonts w:ascii="Times New Roman" w:hAnsi="Times New Roman" w:cs="Times New Roman"/>
          <w:sz w:val="24"/>
          <w:szCs w:val="24"/>
          <w:rtl/>
        </w:rPr>
        <w:t>ש</w:t>
      </w:r>
      <w:r>
        <w:rPr>
          <w:rFonts w:ascii="Times New Roman" w:hAnsi="Times New Roman" w:cs="Times New Roman"/>
          <w:sz w:val="24"/>
          <w:szCs w:val="24"/>
        </w:rPr>
        <w:t xml:space="preserve"> </w:t>
      </w:r>
      <w:r>
        <w:rPr>
          <w:rFonts w:ascii="Times New Roman" w:hAnsi="Times New Roman" w:cs="Times New Roman"/>
          <w:sz w:val="24"/>
          <w:szCs w:val="24"/>
          <w:rtl/>
        </w:rPr>
        <w:t>שירלי</w:t>
      </w:r>
      <w:r>
        <w:rPr>
          <w:rFonts w:ascii="Times New Roman" w:hAnsi="Times New Roman" w:cs="Times New Roman"/>
          <w:sz w:val="24"/>
          <w:szCs w:val="24"/>
        </w:rPr>
        <w:t xml:space="preserve"> </w:t>
      </w:r>
      <w:r>
        <w:rPr>
          <w:rFonts w:ascii="Times New Roman" w:hAnsi="Times New Roman" w:cs="Times New Roman"/>
          <w:sz w:val="24"/>
          <w:szCs w:val="24"/>
          <w:rtl/>
        </w:rPr>
        <w:t>ולסלי</w:t>
      </w:r>
      <w:r>
        <w:rPr>
          <w:rFonts w:ascii="Times New Roman" w:hAnsi="Times New Roman" w:cs="Times New Roman"/>
          <w:sz w:val="24"/>
          <w:szCs w:val="24"/>
        </w:rPr>
        <w:t xml:space="preserve"> </w:t>
      </w:r>
      <w:r>
        <w:rPr>
          <w:rFonts w:ascii="Times New Roman" w:hAnsi="Times New Roman" w:cs="Times New Roman"/>
          <w:sz w:val="24"/>
          <w:szCs w:val="24"/>
          <w:rtl/>
        </w:rPr>
        <w:t>פורטר</w:t>
      </w: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b/>
          <w:bCs/>
          <w:sz w:val="36"/>
          <w:szCs w:val="36"/>
          <w:rtl/>
        </w:rPr>
      </w:pPr>
      <w:r>
        <w:rPr>
          <w:rFonts w:ascii="Times New Roman" w:hAnsi="Times New Roman" w:cs="Times New Roman"/>
          <w:b/>
          <w:bCs/>
          <w:sz w:val="36"/>
          <w:szCs w:val="36"/>
          <w:rtl/>
        </w:rPr>
        <w:t>כולם יצאו לקרב?</w:t>
      </w:r>
    </w:p>
    <w:p w:rsidR="00462D5B" w:rsidRDefault="00462D5B" w:rsidP="00462D5B">
      <w:pPr>
        <w:spacing w:after="200" w:line="480" w:lineRule="auto"/>
        <w:contextualSpacing/>
        <w:jc w:val="center"/>
        <w:rPr>
          <w:rFonts w:ascii="Times New Roman" w:hAnsi="Times New Roman" w:cs="Times New Roman"/>
          <w:b/>
          <w:bCs/>
          <w:sz w:val="36"/>
          <w:szCs w:val="36"/>
          <w:rtl/>
        </w:rPr>
      </w:pPr>
      <w:r>
        <w:rPr>
          <w:rFonts w:ascii="Times New Roman" w:hAnsi="Times New Roman" w:cs="Times New Roman"/>
          <w:b/>
          <w:bCs/>
          <w:sz w:val="36"/>
          <w:szCs w:val="36"/>
          <w:rtl/>
        </w:rPr>
        <w:t>קריאה ביצירות הפרוזה של דוד פוגל</w:t>
      </w:r>
    </w:p>
    <w:p w:rsidR="00462D5B" w:rsidRDefault="00462D5B" w:rsidP="00462D5B">
      <w:pPr>
        <w:spacing w:after="200" w:line="480" w:lineRule="auto"/>
        <w:contextualSpacing/>
        <w:jc w:val="center"/>
        <w:rPr>
          <w:rFonts w:ascii="David-Reg" w:hAnsi="Calibri" w:cs="David-Reg"/>
          <w:sz w:val="28"/>
          <w:szCs w:val="28"/>
          <w:rtl/>
        </w:rPr>
      </w:pPr>
    </w:p>
    <w:p w:rsidR="00462D5B" w:rsidRDefault="00462D5B" w:rsidP="00462D5B">
      <w:pPr>
        <w:spacing w:after="200" w:line="480" w:lineRule="auto"/>
        <w:contextualSpacing/>
        <w:jc w:val="center"/>
        <w:rPr>
          <w:rFonts w:ascii="David-Reg" w:cs="David-Reg"/>
          <w:sz w:val="28"/>
          <w:szCs w:val="28"/>
          <w:rtl/>
        </w:rPr>
      </w:pPr>
    </w:p>
    <w:p w:rsidR="00462D5B" w:rsidRDefault="00462D5B" w:rsidP="00462D5B">
      <w:pPr>
        <w:spacing w:after="200" w:line="480" w:lineRule="auto"/>
        <w:contextualSpacing/>
        <w:jc w:val="center"/>
        <w:rPr>
          <w:rFonts w:ascii="Times New Roman" w:hAnsi="Times New Roman" w:cs="Times New Roman"/>
          <w:sz w:val="24"/>
          <w:szCs w:val="24"/>
          <w:rtl/>
        </w:rPr>
      </w:pPr>
      <w:r>
        <w:rPr>
          <w:rFonts w:ascii="David-Reg" w:cs="David-Reg" w:hint="cs"/>
          <w:sz w:val="24"/>
          <w:szCs w:val="24"/>
          <w:rtl/>
        </w:rPr>
        <w:t>חיבור</w:t>
      </w:r>
      <w:r>
        <w:rPr>
          <w:rFonts w:ascii="David-Reg" w:cs="David-Reg" w:hint="cs"/>
          <w:sz w:val="24"/>
          <w:szCs w:val="24"/>
        </w:rPr>
        <w:t xml:space="preserve"> </w:t>
      </w:r>
      <w:r>
        <w:rPr>
          <w:rFonts w:ascii="David-Reg" w:cs="David-Reg" w:hint="cs"/>
          <w:sz w:val="24"/>
          <w:szCs w:val="24"/>
          <w:rtl/>
        </w:rPr>
        <w:t>לשם</w:t>
      </w:r>
      <w:r>
        <w:rPr>
          <w:rFonts w:ascii="David-Reg" w:cs="David-Reg" w:hint="cs"/>
          <w:sz w:val="24"/>
          <w:szCs w:val="24"/>
        </w:rPr>
        <w:t xml:space="preserve"> </w:t>
      </w:r>
      <w:r>
        <w:rPr>
          <w:rFonts w:ascii="David-Reg" w:cs="David-Reg" w:hint="cs"/>
          <w:sz w:val="24"/>
          <w:szCs w:val="24"/>
          <w:rtl/>
        </w:rPr>
        <w:t>קבלת</w:t>
      </w:r>
      <w:r>
        <w:rPr>
          <w:rFonts w:ascii="David-Reg" w:cs="David-Reg" w:hint="cs"/>
          <w:sz w:val="24"/>
          <w:szCs w:val="24"/>
        </w:rPr>
        <w:t xml:space="preserve"> </w:t>
      </w:r>
      <w:r>
        <w:rPr>
          <w:rFonts w:ascii="David-Reg" w:cs="David-Reg" w:hint="cs"/>
          <w:sz w:val="24"/>
          <w:szCs w:val="24"/>
          <w:rtl/>
        </w:rPr>
        <w:t xml:space="preserve">התואר </w:t>
      </w:r>
      <w:r>
        <w:rPr>
          <w:rFonts w:ascii="David-Reg" w:cs="David-Reg" w:hint="cs"/>
          <w:sz w:val="24"/>
          <w:szCs w:val="24"/>
        </w:rPr>
        <w:t>"</w:t>
      </w:r>
      <w:r>
        <w:rPr>
          <w:rFonts w:ascii="David-Reg" w:cs="David-Reg" w:hint="cs"/>
          <w:sz w:val="24"/>
          <w:szCs w:val="24"/>
          <w:rtl/>
        </w:rPr>
        <w:t>דוקטור</w:t>
      </w:r>
      <w:r>
        <w:rPr>
          <w:rFonts w:ascii="David-Reg" w:cs="David-Reg" w:hint="cs"/>
          <w:sz w:val="24"/>
          <w:szCs w:val="24"/>
        </w:rPr>
        <w:t xml:space="preserve"> </w:t>
      </w:r>
      <w:r>
        <w:rPr>
          <w:rFonts w:ascii="David-Reg" w:cs="David-Reg" w:hint="cs"/>
          <w:sz w:val="24"/>
          <w:szCs w:val="24"/>
          <w:rtl/>
        </w:rPr>
        <w:t>לפילוסופיה</w:t>
      </w:r>
      <w:r>
        <w:rPr>
          <w:rFonts w:ascii="David-Reg" w:cs="David-Reg" w:hint="cs"/>
          <w:sz w:val="24"/>
          <w:szCs w:val="24"/>
        </w:rPr>
        <w:t>"</w:t>
      </w:r>
    </w:p>
    <w:p w:rsidR="00462D5B" w:rsidRDefault="00462D5B" w:rsidP="00462D5B">
      <w:pPr>
        <w:spacing w:after="200" w:line="480" w:lineRule="auto"/>
        <w:contextualSpacing/>
        <w:jc w:val="center"/>
        <w:rPr>
          <w:rFonts w:ascii="Times New Roman" w:hAnsi="Times New Roman" w:cs="Times New Roman"/>
          <w:sz w:val="24"/>
          <w:szCs w:val="24"/>
          <w:rtl/>
        </w:rPr>
      </w:pPr>
      <w:r>
        <w:rPr>
          <w:rFonts w:ascii="Times New Roman" w:hAnsi="Times New Roman" w:cs="Times New Roman"/>
          <w:sz w:val="24"/>
          <w:szCs w:val="24"/>
          <w:rtl/>
        </w:rPr>
        <w:t>מאת</w:t>
      </w:r>
    </w:p>
    <w:p w:rsidR="00462D5B" w:rsidRDefault="00462D5B" w:rsidP="00462D5B">
      <w:pPr>
        <w:spacing w:after="200" w:line="480" w:lineRule="auto"/>
        <w:contextualSpacing/>
        <w:jc w:val="center"/>
        <w:rPr>
          <w:rFonts w:ascii="Times New Roman" w:hAnsi="Times New Roman" w:cs="Times New Roman"/>
          <w:sz w:val="24"/>
          <w:szCs w:val="24"/>
          <w:rtl/>
        </w:rPr>
      </w:pPr>
      <w:r>
        <w:rPr>
          <w:rFonts w:ascii="Times New Roman" w:hAnsi="Times New Roman" w:cs="Times New Roman"/>
          <w:sz w:val="24"/>
          <w:szCs w:val="24"/>
          <w:rtl/>
        </w:rPr>
        <w:t>שי כחלני</w:t>
      </w: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r>
        <w:rPr>
          <w:rFonts w:ascii="Times New Roman" w:hAnsi="Times New Roman" w:cs="Times New Roman"/>
          <w:sz w:val="24"/>
          <w:szCs w:val="24"/>
          <w:rtl/>
        </w:rPr>
        <w:t>בהנחיית</w:t>
      </w:r>
    </w:p>
    <w:p w:rsidR="00462D5B" w:rsidRDefault="00462D5B" w:rsidP="00462D5B">
      <w:pPr>
        <w:spacing w:after="200" w:line="480" w:lineRule="auto"/>
        <w:contextualSpacing/>
        <w:jc w:val="center"/>
        <w:rPr>
          <w:rFonts w:ascii="Times New Roman" w:hAnsi="Times New Roman" w:cs="Times New Roman"/>
          <w:sz w:val="24"/>
          <w:szCs w:val="24"/>
          <w:rtl/>
        </w:rPr>
      </w:pPr>
      <w:r>
        <w:rPr>
          <w:rFonts w:ascii="Times New Roman" w:hAnsi="Times New Roman" w:cs="Times New Roman"/>
          <w:sz w:val="24"/>
          <w:szCs w:val="24"/>
          <w:rtl/>
        </w:rPr>
        <w:t>פרופ' איריס מילנר ופרופ' אורי ש. כהן</w:t>
      </w: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r>
        <w:rPr>
          <w:rFonts w:ascii="Times New Roman" w:hAnsi="Times New Roman" w:cs="Times New Roman"/>
          <w:sz w:val="24"/>
          <w:szCs w:val="24"/>
          <w:rtl/>
        </w:rPr>
        <w:t>יוני 2020</w:t>
      </w: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462D5B">
      <w:pPr>
        <w:spacing w:after="200" w:line="480" w:lineRule="auto"/>
        <w:contextualSpacing/>
        <w:jc w:val="center"/>
        <w:rPr>
          <w:rFonts w:ascii="Times New Roman" w:hAnsi="Times New Roman" w:cs="Times New Roman"/>
          <w:sz w:val="24"/>
          <w:szCs w:val="24"/>
          <w:rtl/>
        </w:rPr>
      </w:pPr>
    </w:p>
    <w:p w:rsidR="00462D5B" w:rsidRDefault="00462D5B" w:rsidP="00F1190F">
      <w:pPr>
        <w:spacing w:after="0" w:line="360" w:lineRule="auto"/>
        <w:contextualSpacing/>
        <w:jc w:val="both"/>
        <w:rPr>
          <w:rFonts w:ascii="Times New Roman" w:eastAsia="Calibri" w:hAnsi="Times New Roman" w:cs="Times New Roman"/>
          <w:sz w:val="24"/>
          <w:szCs w:val="24"/>
          <w:rtl/>
        </w:rPr>
      </w:pPr>
    </w:p>
    <w:p w:rsidR="00462D5B" w:rsidRDefault="00462D5B" w:rsidP="00F1190F">
      <w:pPr>
        <w:spacing w:after="0" w:line="360" w:lineRule="auto"/>
        <w:contextualSpacing/>
        <w:jc w:val="both"/>
        <w:rPr>
          <w:rFonts w:ascii="Times New Roman" w:eastAsia="Calibri" w:hAnsi="Times New Roman" w:cs="Times New Roman"/>
          <w:sz w:val="24"/>
          <w:szCs w:val="24"/>
          <w:rtl/>
        </w:rPr>
      </w:pPr>
    </w:p>
    <w:p w:rsidR="00F1190F" w:rsidRPr="00F1190F" w:rsidRDefault="00F1190F" w:rsidP="00F1190F">
      <w:pPr>
        <w:spacing w:after="0" w:line="360" w:lineRule="auto"/>
        <w:contextualSpacing/>
        <w:jc w:val="both"/>
        <w:rPr>
          <w:rFonts w:ascii="Times New Roman" w:eastAsia="Calibri" w:hAnsi="Times New Roman" w:cs="Times New Roman"/>
          <w:b/>
          <w:bCs/>
          <w:sz w:val="28"/>
          <w:szCs w:val="28"/>
          <w:u w:val="single"/>
          <w:rtl/>
        </w:rPr>
      </w:pPr>
      <w:r w:rsidRPr="00F1190F">
        <w:rPr>
          <w:rFonts w:ascii="Times New Roman" w:eastAsia="Calibri" w:hAnsi="Times New Roman" w:cs="Times New Roman"/>
          <w:sz w:val="24"/>
          <w:szCs w:val="24"/>
          <w:rtl/>
        </w:rPr>
        <w:lastRenderedPageBreak/>
        <w:t>מחקר זה מציע קריאה ביצירות הפרוזה של הסופר דוד פוגל</w:t>
      </w:r>
      <w:r w:rsidRPr="00F1190F">
        <w:rPr>
          <w:rFonts w:ascii="Times New Roman" w:eastAsia="Calibri" w:hAnsi="Times New Roman" w:cs="Times New Roman" w:hint="cs"/>
          <w:sz w:val="24"/>
          <w:szCs w:val="24"/>
          <w:rtl/>
        </w:rPr>
        <w:t xml:space="preserve"> בדגש על היבטים אתיים,</w:t>
      </w:r>
      <w:r w:rsidRPr="00F1190F">
        <w:rPr>
          <w:rFonts w:ascii="Times New Roman" w:eastAsia="Calibri" w:hAnsi="Times New Roman" w:cs="Times New Roman"/>
          <w:sz w:val="24"/>
          <w:szCs w:val="24"/>
          <w:rtl/>
        </w:rPr>
        <w:t xml:space="preserve"> תוך התמקדות ביחס המתקיים ביצירות אלו לדמותו של ה"</w:t>
      </w:r>
      <w:r w:rsidRPr="00F1190F">
        <w:rPr>
          <w:rFonts w:ascii="Times New Roman" w:eastAsia="Calibri" w:hAnsi="Times New Roman" w:cs="Times New Roman" w:hint="cs"/>
          <w:sz w:val="24"/>
          <w:szCs w:val="24"/>
          <w:rtl/>
        </w:rPr>
        <w:t>אחֵר</w:t>
      </w:r>
      <w:r w:rsidRPr="00F1190F">
        <w:rPr>
          <w:rFonts w:ascii="Times New Roman" w:eastAsia="Calibri" w:hAnsi="Times New Roman" w:cs="Times New Roman"/>
          <w:sz w:val="24"/>
          <w:szCs w:val="24"/>
          <w:rtl/>
        </w:rPr>
        <w:t xml:space="preserve">". לצורך זה </w:t>
      </w:r>
      <w:r w:rsidRPr="00F1190F">
        <w:rPr>
          <w:rFonts w:ascii="Times New Roman" w:eastAsia="Calibri" w:hAnsi="Times New Roman" w:cs="Times New Roman" w:hint="cs"/>
          <w:sz w:val="24"/>
          <w:szCs w:val="24"/>
          <w:rtl/>
        </w:rPr>
        <w:t>נבחנים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קשרים</w:t>
      </w:r>
      <w:r w:rsidRPr="00F1190F">
        <w:rPr>
          <w:rFonts w:ascii="Times New Roman" w:eastAsia="Calibri" w:hAnsi="Times New Roman" w:cs="Times New Roman"/>
          <w:sz w:val="24"/>
          <w:szCs w:val="24"/>
          <w:rtl/>
        </w:rPr>
        <w:t xml:space="preserve"> בין אישי</w:t>
      </w:r>
      <w:r w:rsidRPr="00F1190F">
        <w:rPr>
          <w:rFonts w:ascii="Times New Roman" w:eastAsia="Calibri" w:hAnsi="Times New Roman" w:cs="Times New Roman" w:hint="cs"/>
          <w:sz w:val="24"/>
          <w:szCs w:val="24"/>
          <w:rtl/>
        </w:rPr>
        <w:t>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 xml:space="preserve">המיוצגים </w:t>
      </w:r>
      <w:r w:rsidRPr="00F1190F">
        <w:rPr>
          <w:rFonts w:ascii="Times New Roman" w:eastAsia="Calibri" w:hAnsi="Times New Roman" w:cs="Times New Roman"/>
          <w:sz w:val="24"/>
          <w:szCs w:val="24"/>
          <w:rtl/>
        </w:rPr>
        <w:t>ביצירות</w:t>
      </w:r>
      <w:r w:rsidRPr="00F1190F">
        <w:rPr>
          <w:rFonts w:ascii="Times New Roman" w:eastAsia="Calibri" w:hAnsi="Times New Roman" w:cs="Times New Roman" w:hint="cs"/>
          <w:sz w:val="24"/>
          <w:szCs w:val="24"/>
          <w:rtl/>
        </w:rPr>
        <w:t xml:space="preserve"> הנידונות</w:t>
      </w:r>
      <w:r w:rsidRPr="00F1190F">
        <w:rPr>
          <w:rFonts w:ascii="Times New Roman" w:eastAsia="Calibri" w:hAnsi="Times New Roman" w:cs="Times New Roman"/>
          <w:sz w:val="24"/>
          <w:szCs w:val="24"/>
          <w:rtl/>
        </w:rPr>
        <w:t xml:space="preserve"> בקונטקסט של מגמות פילוסופיות שנהגו בתחילת המאה העשרים ביבשת אירופה, </w:t>
      </w:r>
      <w:r w:rsidRPr="00F1190F">
        <w:rPr>
          <w:rFonts w:ascii="Times New Roman" w:eastAsia="Calibri" w:hAnsi="Times New Roman" w:cs="Times New Roman" w:hint="cs"/>
          <w:sz w:val="24"/>
          <w:szCs w:val="24"/>
          <w:rtl/>
        </w:rPr>
        <w:t>ב</w:t>
      </w:r>
      <w:r w:rsidRPr="00F1190F">
        <w:rPr>
          <w:rFonts w:ascii="Times New Roman" w:eastAsia="Calibri" w:hAnsi="Times New Roman" w:cs="Times New Roman"/>
          <w:sz w:val="24"/>
          <w:szCs w:val="24"/>
          <w:rtl/>
        </w:rPr>
        <w:t>דגש על המסורת הפנומנולוגית אקזיסטנציאלית מבית מדרשו של ההוגה עמנואל לוינס</w:t>
      </w:r>
      <w:r w:rsidRPr="00F1190F">
        <w:rPr>
          <w:rFonts w:ascii="Times New Roman" w:eastAsia="Calibri" w:hAnsi="Times New Roman" w:cs="Times New Roman" w:hint="cs"/>
          <w:sz w:val="24"/>
          <w:szCs w:val="24"/>
          <w:rtl/>
        </w:rPr>
        <w:t>.</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 xml:space="preserve">המחקר טוען לזיקה ישירה בין יצירותיו של פוגל לבין הנסיבות שבהקשרן נוצרו, היינו </w:t>
      </w:r>
      <w:r w:rsidRPr="00F1190F">
        <w:rPr>
          <w:rFonts w:ascii="Times New Roman" w:eastAsia="Calibri" w:hAnsi="Times New Roman" w:cs="Times New Roman"/>
          <w:sz w:val="24"/>
          <w:szCs w:val="24"/>
          <w:rtl/>
        </w:rPr>
        <w:t>–</w:t>
      </w:r>
      <w:r w:rsidRPr="00F1190F">
        <w:rPr>
          <w:rFonts w:ascii="Times New Roman" w:eastAsia="Calibri" w:hAnsi="Times New Roman" w:cs="Times New Roman" w:hint="cs"/>
          <w:sz w:val="24"/>
          <w:szCs w:val="24"/>
          <w:rtl/>
        </w:rPr>
        <w:t xml:space="preserve"> הנסיבות ההיסטוריות והלך הרוח החברתי-פוליטי ששררו ביבשת אירופה בעשורים הראשונים של המאה העשרים, ובמיוחד בתקופה שבין שתי מלחמות העולם. המחקר מראה את האופנים השונים בהם יצירות אלה מגיבות למשבר מפנה המאה התשע-עשרה/עשרים שהתעצם והגיע לשיאו במלחמת העולם השנייה, וטוען כי הטקסטים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פוגל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מתפעלים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תובנה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טרגית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שהבדיון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שהם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מציגים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הוא</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למעשה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תמונת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מצב</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מציאותית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ומאיימת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זמן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מסוים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ותקופה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מסוימת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וככל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טקסט</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ביקורתי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מזמינים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פעולת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תיקון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פעולת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התיקון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הזאת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כשם שמציג</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המחקר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גורלה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נחרץ</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לשלילה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בגוף</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הטקסט</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עצמו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שכן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אף</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אחד</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מהגיבורים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איננו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עומד</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בתביעות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לאחריות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כלפי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האחר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ועל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גם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הפתרון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הרדיקלי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בנוסח</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לוינס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דינו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להיכשל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במסגרת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הסיפורית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ולמעשה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מופנה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לקורא</w:t>
      </w:r>
      <w:r w:rsidRPr="00F1190F">
        <w:rPr>
          <w:rFonts w:ascii="Times New Roman" w:eastAsia="Calibri" w:hAnsi="Times New Roman" w:cs="Times New Roman"/>
          <w:sz w:val="24"/>
          <w:szCs w:val="24"/>
          <w:rtl/>
        </w:rPr>
        <w:t>.</w:t>
      </w:r>
      <w:r w:rsidRPr="00F1190F">
        <w:rPr>
          <w:rFonts w:ascii="Times New Roman" w:eastAsia="Calibri" w:hAnsi="Times New Roman" w:cs="Times New Roman" w:hint="cs"/>
          <w:sz w:val="24"/>
          <w:szCs w:val="24"/>
          <w:rtl/>
        </w:rPr>
        <w:t xml:space="preserve"> </w:t>
      </w:r>
    </w:p>
    <w:p w:rsidR="00F1190F" w:rsidRPr="00F1190F" w:rsidRDefault="00F1190F" w:rsidP="00F1190F">
      <w:pPr>
        <w:spacing w:after="200" w:line="360" w:lineRule="auto"/>
        <w:contextualSpacing/>
        <w:jc w:val="both"/>
        <w:rPr>
          <w:rFonts w:ascii="Times New Roman" w:eastAsia="Calibri" w:hAnsi="Times New Roman" w:cs="Times New Roman"/>
          <w:sz w:val="24"/>
          <w:szCs w:val="24"/>
          <w:rtl/>
        </w:rPr>
      </w:pPr>
      <w:r w:rsidRPr="00F1190F">
        <w:rPr>
          <w:rFonts w:ascii="Times New Roman" w:eastAsia="Calibri" w:hAnsi="Times New Roman" w:cs="Times New Roman" w:hint="cs"/>
          <w:sz w:val="24"/>
          <w:szCs w:val="24"/>
          <w:rtl/>
        </w:rPr>
        <w:t xml:space="preserve">       נושא</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המחקר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הוא</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אפוא</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חיי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היום-יום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הנורמטיביים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המיוצגים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ביצירותיו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פוגל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הנחרבים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על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ידי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אקט</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גשמי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חציית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גבולות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מוסריים. מתוך כך מתבהרת העובדה כי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הבחירה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פוגל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לסיים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 xml:space="preserve">יצירותיו, בהיבט העלילתי, </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בהתררחשויות טרגיות, אכן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ממחישה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כפי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שהמחקר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טוען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הפוטנציאל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ההרסני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המתקיים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במציאות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המתוארת</w:t>
      </w:r>
      <w:r w:rsidRPr="00F1190F">
        <w:rPr>
          <w:rFonts w:ascii="Times New Roman" w:eastAsia="Calibri" w:hAnsi="Times New Roman" w:cs="Times New Roman"/>
          <w:sz w:val="24"/>
          <w:szCs w:val="24"/>
          <w:rtl/>
        </w:rPr>
        <w:t>.</w:t>
      </w:r>
      <w:r w:rsidRPr="00F1190F">
        <w:rPr>
          <w:rFonts w:ascii="Calibri" w:eastAsia="Calibri" w:hAnsi="Calibri" w:cs="Arial" w:hint="cs"/>
          <w:rtl/>
        </w:rPr>
        <w:t xml:space="preserve"> </w:t>
      </w:r>
      <w:r w:rsidRPr="00F1190F">
        <w:rPr>
          <w:rFonts w:ascii="Times New Roman" w:eastAsia="Calibri" w:hAnsi="Times New Roman" w:cs="Times New Roman" w:hint="cs"/>
          <w:sz w:val="24"/>
          <w:szCs w:val="24"/>
          <w:rtl/>
        </w:rPr>
        <w:t>בהמשך</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לכך</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המחקר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טוען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הבעיתיות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המוסרית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שמייצגות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יצירות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הפרוזה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פוגל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מהדהדת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הבעיות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והדילמות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בהן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דנה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משנתו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לוינס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ומרמזת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על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כיוון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זהה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לפתרונן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שכאמור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איננו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מיושם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במציאות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המיוצגת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ועל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כך</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הביקורת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הנוקבת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הטקסטים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במילים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אחרות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המחקר</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טוען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כי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מילון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מושגים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רלוונטי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ומועיל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לבחינת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הסוגיות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האתיות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האמורות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הוא</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זה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הנובע</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מהגותו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לוינס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ביחס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לאתיקה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ולאחֵר, וכן</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שקריאה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מהסוג</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שמשנתו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לוינס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מאפשרת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מציפה את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הסוגיות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האתיות הרלוונטיות ומאפשרת דיון בהן. לפיכך, המתודולוגיה של מחקר זה היא קריאה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ביצירות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הפרוזה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פוגל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בהתייחס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לפואטיקה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הטקסט</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ולמסרים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העולים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ממנה, תוך</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יישום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של</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מתודולוגית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קריאה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אידיאולוגית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והיסטורית</w:t>
      </w:r>
      <w:r w:rsidRPr="00F1190F">
        <w:rPr>
          <w:rFonts w:ascii="Times New Roman" w:eastAsia="Calibri" w:hAnsi="Times New Roman" w:cs="Times New Roman"/>
          <w:sz w:val="24"/>
          <w:szCs w:val="24"/>
          <w:rtl/>
        </w:rPr>
        <w:t>.</w:t>
      </w:r>
      <w:r w:rsidRPr="00F1190F">
        <w:rPr>
          <w:rFonts w:ascii="Times New Roman" w:eastAsia="Calibri" w:hAnsi="Times New Roman" w:cs="Times New Roman" w:hint="cs"/>
          <w:sz w:val="24"/>
          <w:szCs w:val="24"/>
          <w:rtl/>
        </w:rPr>
        <w:t xml:space="preserve"> בכך, ממשיך המחקר מגמות קיימות של קריאה ביצירות הפרוזה של פוגל בהקשר של הזמן והמקום בהם נכתבו, אך בהרחבה רבה יותר מכפי שנעשה עד כה, בהקשר חדש ובדגש על סוגיות אתיות שטרם נחקרו. </w:t>
      </w:r>
    </w:p>
    <w:p w:rsidR="00F1190F" w:rsidRPr="00F1190F" w:rsidRDefault="00F1190F" w:rsidP="00F1190F">
      <w:pPr>
        <w:spacing w:after="200" w:line="360" w:lineRule="auto"/>
        <w:contextualSpacing/>
        <w:jc w:val="both"/>
        <w:rPr>
          <w:rFonts w:ascii="Times New Roman" w:eastAsia="Calibri" w:hAnsi="Times New Roman" w:cs="Times New Roman"/>
          <w:sz w:val="24"/>
          <w:szCs w:val="24"/>
          <w:rtl/>
        </w:rPr>
      </w:pP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 xml:space="preserve">במהלך השנים התגלו עוד ועוד נדבכים מיצירתו של פוגל, וכך נחשף גוף יצירה מרשים ורב גוני, עשיר ורחב, כזה המאפיין יוצר פעיל שאחוז בלהט יצירה. אותם נדבכי יצירה חדשים עוזרים לשקלל מחדש את </w:t>
      </w:r>
      <w:r w:rsidRPr="00F1190F">
        <w:rPr>
          <w:rFonts w:ascii="Times New Roman" w:eastAsia="Calibri" w:hAnsi="Times New Roman" w:cs="Times New Roman" w:hint="cs"/>
          <w:sz w:val="24"/>
          <w:szCs w:val="24"/>
          <w:rtl/>
        </w:rPr>
        <w:t xml:space="preserve">הקורפוס הכולל של </w:t>
      </w:r>
      <w:r w:rsidRPr="00F1190F">
        <w:rPr>
          <w:rFonts w:ascii="Times New Roman" w:eastAsia="Calibri" w:hAnsi="Times New Roman" w:cs="Times New Roman"/>
          <w:sz w:val="24"/>
          <w:szCs w:val="24"/>
          <w:rtl/>
        </w:rPr>
        <w:t>פוגל. כך ק</w:t>
      </w:r>
      <w:r w:rsidRPr="00F1190F">
        <w:rPr>
          <w:rFonts w:ascii="Times New Roman" w:eastAsia="Calibri" w:hAnsi="Times New Roman" w:cs="Times New Roman" w:hint="cs"/>
          <w:sz w:val="24"/>
          <w:szCs w:val="24"/>
          <w:rtl/>
        </w:rPr>
        <w:t>ו</w:t>
      </w:r>
      <w:r w:rsidRPr="00F1190F">
        <w:rPr>
          <w:rFonts w:ascii="Times New Roman" w:eastAsia="Calibri" w:hAnsi="Times New Roman" w:cs="Times New Roman"/>
          <w:sz w:val="24"/>
          <w:szCs w:val="24"/>
          <w:rtl/>
        </w:rPr>
        <w:t xml:space="preserve">רה, שלמרות שפוגל האיש מת מזמן, דמותו כיוצר ממשיכה לחיות, להתפתח ולגדול, </w:t>
      </w:r>
      <w:r w:rsidRPr="00F1190F">
        <w:rPr>
          <w:rFonts w:ascii="Times New Roman" w:eastAsia="Calibri" w:hAnsi="Times New Roman" w:cs="Times New Roman" w:hint="cs"/>
          <w:sz w:val="24"/>
          <w:szCs w:val="24"/>
          <w:rtl/>
        </w:rPr>
        <w:t>ל</w:t>
      </w:r>
      <w:r w:rsidRPr="00F1190F">
        <w:rPr>
          <w:rFonts w:ascii="Times New Roman" w:eastAsia="Calibri" w:hAnsi="Times New Roman" w:cs="Times New Roman"/>
          <w:sz w:val="24"/>
          <w:szCs w:val="24"/>
          <w:rtl/>
        </w:rPr>
        <w:t xml:space="preserve">ערער </w:t>
      </w:r>
      <w:r w:rsidRPr="00F1190F">
        <w:rPr>
          <w:rFonts w:ascii="Times New Roman" w:eastAsia="Calibri" w:hAnsi="Times New Roman" w:cs="Times New Roman" w:hint="cs"/>
          <w:sz w:val="24"/>
          <w:szCs w:val="24"/>
          <w:rtl/>
        </w:rPr>
        <w:t>את ועל</w:t>
      </w:r>
      <w:r w:rsidRPr="00F1190F">
        <w:rPr>
          <w:rFonts w:ascii="Times New Roman" w:eastAsia="Calibri" w:hAnsi="Times New Roman" w:cs="Times New Roman"/>
          <w:sz w:val="24"/>
          <w:szCs w:val="24"/>
          <w:rtl/>
        </w:rPr>
        <w:t xml:space="preserve"> טענות מחקר הספרות בדבר דמותה</w:t>
      </w:r>
      <w:r w:rsidRPr="00F1190F">
        <w:rPr>
          <w:rFonts w:ascii="Times New Roman" w:eastAsia="Calibri" w:hAnsi="Times New Roman" w:cs="Times New Roman" w:hint="cs"/>
          <w:sz w:val="24"/>
          <w:szCs w:val="24"/>
          <w:rtl/>
        </w:rPr>
        <w:t>,</w:t>
      </w:r>
      <w:r w:rsidRPr="00F1190F">
        <w:rPr>
          <w:rFonts w:ascii="Times New Roman" w:eastAsia="Calibri" w:hAnsi="Times New Roman" w:cs="Times New Roman"/>
          <w:sz w:val="24"/>
          <w:szCs w:val="24"/>
          <w:rtl/>
        </w:rPr>
        <w:t xml:space="preserve"> ו</w:t>
      </w:r>
      <w:r w:rsidRPr="00F1190F">
        <w:rPr>
          <w:rFonts w:ascii="Times New Roman" w:eastAsia="Calibri" w:hAnsi="Times New Roman" w:cs="Times New Roman" w:hint="cs"/>
          <w:sz w:val="24"/>
          <w:szCs w:val="24"/>
          <w:rtl/>
        </w:rPr>
        <w:t>מרחיבה את יריעתה</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ואכן,</w:t>
      </w:r>
      <w:r w:rsidRPr="00F1190F">
        <w:rPr>
          <w:rFonts w:ascii="Times New Roman" w:eastAsia="Calibri" w:hAnsi="Times New Roman" w:cs="Times New Roman"/>
          <w:sz w:val="24"/>
          <w:szCs w:val="24"/>
          <w:rtl/>
        </w:rPr>
        <w:t xml:space="preserve"> מחקר זה מדגיש את העובדה כי ביצירתו הפואטית של פוגל חבויה ביקורת בעלת השתמעויות פילוסופיות שרלוונטיות לתקופה שבה נכתבה, </w:t>
      </w:r>
      <w:r w:rsidRPr="00F1190F">
        <w:rPr>
          <w:rFonts w:ascii="Times New Roman" w:eastAsia="Calibri" w:hAnsi="Times New Roman" w:cs="Times New Roman" w:hint="cs"/>
          <w:sz w:val="24"/>
          <w:szCs w:val="24"/>
          <w:rtl/>
        </w:rPr>
        <w:t>ומציע את האפשרות</w:t>
      </w:r>
      <w:r w:rsidRPr="00F1190F">
        <w:rPr>
          <w:rFonts w:ascii="Times New Roman" w:eastAsia="Calibri" w:hAnsi="Times New Roman" w:cs="Times New Roman"/>
          <w:sz w:val="24"/>
          <w:szCs w:val="24"/>
          <w:rtl/>
        </w:rPr>
        <w:t xml:space="preserve"> לקרוא אותה היא דרך הפילוסופיה </w:t>
      </w:r>
      <w:r w:rsidRPr="00F1190F">
        <w:rPr>
          <w:rFonts w:ascii="Times New Roman" w:eastAsia="Calibri" w:hAnsi="Times New Roman" w:cs="Times New Roman" w:hint="cs"/>
          <w:sz w:val="24"/>
          <w:szCs w:val="24"/>
          <w:rtl/>
        </w:rPr>
        <w:t>בת הזמן</w:t>
      </w:r>
      <w:r w:rsidRPr="00F1190F">
        <w:rPr>
          <w:rFonts w:ascii="Times New Roman" w:eastAsia="Calibri" w:hAnsi="Times New Roman" w:cs="Times New Roman"/>
          <w:sz w:val="24"/>
          <w:szCs w:val="24"/>
          <w:rtl/>
        </w:rPr>
        <w:t xml:space="preserve">. </w:t>
      </w:r>
    </w:p>
    <w:p w:rsidR="00F1190F" w:rsidRPr="00F1190F" w:rsidRDefault="00F1190F" w:rsidP="00F1190F">
      <w:pPr>
        <w:spacing w:after="200" w:line="360" w:lineRule="auto"/>
        <w:contextualSpacing/>
        <w:jc w:val="both"/>
        <w:rPr>
          <w:rFonts w:ascii="Times New Roman" w:eastAsia="Calibri" w:hAnsi="Times New Roman" w:cs="Times New Roman"/>
          <w:sz w:val="24"/>
          <w:szCs w:val="24"/>
          <w:rtl/>
        </w:rPr>
      </w:pP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טשטוש גבולות המערער על דמותו הריבונית של הדובר בעולם הבדוי</w:t>
      </w:r>
      <w:r w:rsidRPr="00F1190F">
        <w:rPr>
          <w:rFonts w:ascii="Times New Roman" w:eastAsia="Calibri" w:hAnsi="Times New Roman" w:cs="Times New Roman" w:hint="cs"/>
          <w:sz w:val="24"/>
          <w:szCs w:val="24"/>
          <w:rtl/>
        </w:rPr>
        <w:t xml:space="preserve">, המתקיים, על פי הנחת המוצא של הדיון המוצע בעבודה זו, </w:t>
      </w:r>
      <w:r w:rsidRPr="00F1190F">
        <w:rPr>
          <w:rFonts w:ascii="Times New Roman" w:eastAsia="Calibri" w:hAnsi="Times New Roman" w:cs="Times New Roman"/>
          <w:sz w:val="24"/>
          <w:szCs w:val="24"/>
          <w:rtl/>
        </w:rPr>
        <w:t xml:space="preserve">מתממש באופן אקוטי בחלל של הקריאה – ביחסים המתכוננים בין הקורא לבין הטקסט. על פי קריאה זו, התנאים המסורתיים של הפרשנות מתערערים נוכח אחרותה הרדיקאלית של היצירה: הקורא אינו יכול להיערך בבטחה יחסית נוכח אובייקט סופי ומובדל שהוא קונה לו שליטה </w:t>
      </w:r>
      <w:r w:rsidRPr="00F1190F">
        <w:rPr>
          <w:rFonts w:ascii="Times New Roman" w:eastAsia="Calibri" w:hAnsi="Times New Roman" w:cs="Times New Roman"/>
          <w:sz w:val="24"/>
          <w:szCs w:val="24"/>
          <w:rtl/>
        </w:rPr>
        <w:lastRenderedPageBreak/>
        <w:t>במערכיו באמצעות האקט הפרשני. ההיפך הוא הנכון: הקורא הוא שנקרא על ידי הטקסט, ומוצב כ</w:t>
      </w:r>
      <w:r w:rsidRPr="00F1190F">
        <w:rPr>
          <w:rFonts w:ascii="Times New Roman" w:eastAsia="Calibri" w:hAnsi="Times New Roman" w:cs="Times New Roman" w:hint="cs"/>
          <w:sz w:val="24"/>
          <w:szCs w:val="24"/>
          <w:rtl/>
        </w:rPr>
        <w:t>תיבת תהודה מהדהדת לתביעתו</w:t>
      </w:r>
      <w:r w:rsidRPr="00F1190F">
        <w:rPr>
          <w:rFonts w:ascii="Times New Roman" w:eastAsia="Calibri" w:hAnsi="Times New Roman" w:cs="Times New Roman"/>
          <w:sz w:val="24"/>
          <w:szCs w:val="24"/>
          <w:rtl/>
        </w:rPr>
        <w:t>. בתנאים אלה, תמונת העולם הפילוסופית שמציג לוינס – בעיקר סביב היחסים המטאפיסיים עם ה</w:t>
      </w:r>
      <w:r w:rsidRPr="00F1190F">
        <w:rPr>
          <w:rFonts w:ascii="Times New Roman" w:eastAsia="Calibri" w:hAnsi="Times New Roman" w:cs="Times New Roman" w:hint="cs"/>
          <w:sz w:val="24"/>
          <w:szCs w:val="24"/>
          <w:rtl/>
        </w:rPr>
        <w:t>אחֵר</w:t>
      </w:r>
      <w:r w:rsidRPr="00F1190F">
        <w:rPr>
          <w:rFonts w:ascii="Times New Roman" w:eastAsia="Calibri" w:hAnsi="Times New Roman" w:cs="Times New Roman"/>
          <w:sz w:val="24"/>
          <w:szCs w:val="24"/>
          <w:rtl/>
        </w:rPr>
        <w:t>, המערערים מכל וכל על ריבונותו של האני – מתממשת בתנאי ה</w:t>
      </w:r>
      <w:r w:rsidRPr="00F1190F">
        <w:rPr>
          <w:rFonts w:ascii="Times New Roman" w:eastAsia="Calibri" w:hAnsi="Times New Roman" w:cs="Times New Roman" w:hint="cs"/>
          <w:sz w:val="24"/>
          <w:szCs w:val="24"/>
          <w:rtl/>
        </w:rPr>
        <w:t>קריאה</w:t>
      </w:r>
      <w:r w:rsidRPr="00F1190F">
        <w:rPr>
          <w:rFonts w:ascii="Times New Roman" w:eastAsia="Calibri" w:hAnsi="Times New Roman" w:cs="Times New Roman"/>
          <w:sz w:val="24"/>
          <w:szCs w:val="24"/>
          <w:rtl/>
        </w:rPr>
        <w:t xml:space="preserve"> והפרשנות שאוכף הטקסט הפוגלי על קוראיו-קרואיו. בקריאה זו, הפילוסופיה של עמנואל לוינס </w:t>
      </w:r>
      <w:r w:rsidRPr="00F1190F">
        <w:rPr>
          <w:rFonts w:ascii="Times New Roman" w:eastAsia="Calibri" w:hAnsi="Times New Roman" w:cs="Times New Roman" w:hint="cs"/>
          <w:sz w:val="24"/>
          <w:szCs w:val="24"/>
          <w:rtl/>
        </w:rPr>
        <w:t>מוצגת</w:t>
      </w:r>
      <w:r w:rsidRPr="00F1190F">
        <w:rPr>
          <w:rFonts w:ascii="Times New Roman" w:eastAsia="Calibri" w:hAnsi="Times New Roman" w:cs="Times New Roman"/>
          <w:sz w:val="24"/>
          <w:szCs w:val="24"/>
          <w:rtl/>
        </w:rPr>
        <w:t xml:space="preserve"> כתרופה רדיקאלית למחלה שמאבחנים כתביו של פוגל. </w:t>
      </w:r>
      <w:r w:rsidRPr="00F1190F">
        <w:rPr>
          <w:rFonts w:ascii="Times New Roman" w:eastAsia="Calibri" w:hAnsi="Times New Roman" w:cs="Times New Roman" w:hint="cs"/>
          <w:sz w:val="24"/>
          <w:szCs w:val="24"/>
          <w:rtl/>
        </w:rPr>
        <w:t>המחקר טוען, באמצעות קריאה במונחיו של לוינס</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 xml:space="preserve">ואפשרויות </w:t>
      </w:r>
      <w:r w:rsidRPr="00F1190F">
        <w:rPr>
          <w:rFonts w:ascii="Times New Roman" w:eastAsia="Calibri" w:hAnsi="Times New Roman" w:cs="Times New Roman"/>
          <w:sz w:val="24"/>
          <w:szCs w:val="24"/>
          <w:rtl/>
        </w:rPr>
        <w:t>הקריאה הנגזר</w:t>
      </w:r>
      <w:r w:rsidRPr="00F1190F">
        <w:rPr>
          <w:rFonts w:ascii="Times New Roman" w:eastAsia="Calibri" w:hAnsi="Times New Roman" w:cs="Times New Roman" w:hint="cs"/>
          <w:sz w:val="24"/>
          <w:szCs w:val="24"/>
          <w:rtl/>
        </w:rPr>
        <w:t>ות</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מהם,</w:t>
      </w:r>
      <w:r w:rsidRPr="00F1190F">
        <w:rPr>
          <w:rFonts w:ascii="Times New Roman" w:eastAsia="Calibri" w:hAnsi="Times New Roman" w:cs="Times New Roman"/>
          <w:sz w:val="24"/>
          <w:szCs w:val="24"/>
          <w:rtl/>
        </w:rPr>
        <w:t xml:space="preserve"> כי ניצניה של התרופה מוצפנים בכתבי פוגל ומעצבים את היחסים שהם מכוננים עם קוראיהם. ככל שאנחנו קוראים ביצירתו של פוגל, זאת מחזירה לנו מבט וקוראת בנו בלשונה של הקריאה האתית. בין שני מובניה אלה של הקריאה (</w:t>
      </w:r>
      <w:r w:rsidRPr="00F1190F">
        <w:rPr>
          <w:rFonts w:ascii="Times New Roman" w:eastAsia="Calibri" w:hAnsi="Times New Roman" w:cs="Times New Roman"/>
          <w:sz w:val="24"/>
          <w:szCs w:val="24"/>
        </w:rPr>
        <w:t>reading</w:t>
      </w:r>
      <w:r w:rsidRPr="00F1190F">
        <w:rPr>
          <w:rFonts w:ascii="Times New Roman" w:eastAsia="Calibri" w:hAnsi="Times New Roman" w:cs="Times New Roman"/>
          <w:sz w:val="24"/>
          <w:szCs w:val="24"/>
          <w:rtl/>
        </w:rPr>
        <w:t xml:space="preserve"> ו-</w:t>
      </w:r>
      <w:r w:rsidRPr="00F1190F">
        <w:rPr>
          <w:rFonts w:ascii="Times New Roman" w:eastAsia="Calibri" w:hAnsi="Times New Roman" w:cs="Times New Roman"/>
          <w:sz w:val="24"/>
          <w:szCs w:val="24"/>
        </w:rPr>
        <w:t>calling</w:t>
      </w:r>
      <w:r w:rsidRPr="00F1190F">
        <w:rPr>
          <w:rFonts w:ascii="Times New Roman" w:eastAsia="Calibri" w:hAnsi="Times New Roman" w:cs="Times New Roman"/>
          <w:sz w:val="24"/>
          <w:szCs w:val="24"/>
          <w:rtl/>
        </w:rPr>
        <w:t>) מתחוללת הקריאה המוצעת כאן בכתביו של דוד פוגל.</w:t>
      </w:r>
    </w:p>
    <w:p w:rsidR="00F1190F" w:rsidRPr="00F1190F" w:rsidRDefault="00F1190F" w:rsidP="00F1190F">
      <w:pPr>
        <w:spacing w:after="200" w:line="360" w:lineRule="auto"/>
        <w:contextualSpacing/>
        <w:jc w:val="both"/>
        <w:rPr>
          <w:rFonts w:ascii="Times New Roman" w:eastAsia="Calibri" w:hAnsi="Times New Roman" w:cs="Times New Roman"/>
          <w:sz w:val="24"/>
          <w:szCs w:val="24"/>
          <w:rtl/>
        </w:rPr>
      </w:pP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 xml:space="preserve">התרומה של המחקר היא </w:t>
      </w:r>
      <w:r w:rsidRPr="00F1190F">
        <w:rPr>
          <w:rFonts w:ascii="Times New Roman" w:eastAsia="Calibri" w:hAnsi="Times New Roman" w:cs="Times New Roman" w:hint="cs"/>
          <w:sz w:val="24"/>
          <w:szCs w:val="24"/>
          <w:rtl/>
        </w:rPr>
        <w:t>הצבתו</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 xml:space="preserve">של פוגל, ושל יצירתו, </w:t>
      </w:r>
      <w:r w:rsidRPr="00F1190F">
        <w:rPr>
          <w:rFonts w:ascii="Times New Roman" w:eastAsia="Calibri" w:hAnsi="Times New Roman" w:cs="Times New Roman"/>
          <w:sz w:val="24"/>
          <w:szCs w:val="24"/>
          <w:rtl/>
        </w:rPr>
        <w:t xml:space="preserve">לא כסופר </w:t>
      </w:r>
      <w:r w:rsidRPr="00F1190F">
        <w:rPr>
          <w:rFonts w:ascii="Times New Roman" w:eastAsia="Calibri" w:hAnsi="Times New Roman" w:cs="Times New Roman" w:hint="cs"/>
          <w:sz w:val="24"/>
          <w:szCs w:val="24"/>
          <w:rtl/>
        </w:rPr>
        <w:t xml:space="preserve">ויצירה </w:t>
      </w:r>
      <w:r w:rsidRPr="00F1190F">
        <w:rPr>
          <w:rFonts w:ascii="Times New Roman" w:eastAsia="Calibri" w:hAnsi="Times New Roman" w:cs="Times New Roman"/>
          <w:sz w:val="24"/>
          <w:szCs w:val="24"/>
          <w:rtl/>
        </w:rPr>
        <w:t>שולי</w:t>
      </w:r>
      <w:r w:rsidRPr="00F1190F">
        <w:rPr>
          <w:rFonts w:ascii="Times New Roman" w:eastAsia="Calibri" w:hAnsi="Times New Roman" w:cs="Times New Roman" w:hint="cs"/>
          <w:sz w:val="24"/>
          <w:szCs w:val="24"/>
          <w:rtl/>
        </w:rPr>
        <w:t xml:space="preserve">ים </w:t>
      </w:r>
      <w:r w:rsidRPr="00F1190F">
        <w:rPr>
          <w:rFonts w:ascii="Times New Roman" w:eastAsia="Calibri" w:hAnsi="Times New Roman" w:cs="Times New Roman"/>
          <w:sz w:val="24"/>
          <w:szCs w:val="24"/>
          <w:rtl/>
        </w:rPr>
        <w:t>–</w:t>
      </w: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שולי</w:t>
      </w:r>
      <w:r w:rsidRPr="00F1190F">
        <w:rPr>
          <w:rFonts w:ascii="Times New Roman" w:eastAsia="Calibri" w:hAnsi="Times New Roman" w:cs="Times New Roman" w:hint="cs"/>
          <w:sz w:val="24"/>
          <w:szCs w:val="24"/>
          <w:rtl/>
        </w:rPr>
        <w:t>ים</w:t>
      </w:r>
      <w:r w:rsidRPr="00F1190F">
        <w:rPr>
          <w:rFonts w:ascii="Times New Roman" w:eastAsia="Calibri" w:hAnsi="Times New Roman" w:cs="Times New Roman"/>
          <w:sz w:val="24"/>
          <w:szCs w:val="24"/>
          <w:rtl/>
        </w:rPr>
        <w:t xml:space="preserve"> למגמה המרכזית של הספרות העברית בת הזמן העוסקת בתחייתו של העם היהודי בארצו</w:t>
      </w: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w:t>
      </w: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אלא כ</w:t>
      </w:r>
      <w:r w:rsidRPr="00F1190F">
        <w:rPr>
          <w:rFonts w:ascii="Times New Roman" w:eastAsia="Calibri" w:hAnsi="Times New Roman" w:cs="Times New Roman" w:hint="cs"/>
          <w:sz w:val="24"/>
          <w:szCs w:val="24"/>
          <w:rtl/>
        </w:rPr>
        <w:t>סופר ו</w:t>
      </w:r>
      <w:r w:rsidRPr="00F1190F">
        <w:rPr>
          <w:rFonts w:ascii="Times New Roman" w:eastAsia="Calibri" w:hAnsi="Times New Roman" w:cs="Times New Roman"/>
          <w:sz w:val="24"/>
          <w:szCs w:val="24"/>
          <w:rtl/>
        </w:rPr>
        <w:t>יצירות מרכזי</w:t>
      </w:r>
      <w:r w:rsidRPr="00F1190F">
        <w:rPr>
          <w:rFonts w:ascii="Times New Roman" w:eastAsia="Calibri" w:hAnsi="Times New Roman" w:cs="Times New Roman" w:hint="cs"/>
          <w:sz w:val="24"/>
          <w:szCs w:val="24"/>
          <w:rtl/>
        </w:rPr>
        <w:t>ים</w:t>
      </w:r>
      <w:r w:rsidRPr="00F1190F">
        <w:rPr>
          <w:rFonts w:ascii="Times New Roman" w:eastAsia="Calibri" w:hAnsi="Times New Roman" w:cs="Times New Roman"/>
          <w:sz w:val="24"/>
          <w:szCs w:val="24"/>
          <w:rtl/>
        </w:rPr>
        <w:t>, מאז'ורי</w:t>
      </w:r>
      <w:r w:rsidRPr="00F1190F">
        <w:rPr>
          <w:rFonts w:ascii="Times New Roman" w:eastAsia="Calibri" w:hAnsi="Times New Roman" w:cs="Times New Roman" w:hint="cs"/>
          <w:sz w:val="24"/>
          <w:szCs w:val="24"/>
          <w:rtl/>
        </w:rPr>
        <w:t>ים</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העוסקים ב</w:t>
      </w:r>
      <w:r w:rsidRPr="00F1190F">
        <w:rPr>
          <w:rFonts w:ascii="Times New Roman" w:eastAsia="Calibri" w:hAnsi="Times New Roman" w:cs="Times New Roman"/>
          <w:sz w:val="24"/>
          <w:szCs w:val="24"/>
          <w:rtl/>
        </w:rPr>
        <w:t xml:space="preserve">סוגיות קריטיות </w:t>
      </w:r>
      <w:r w:rsidRPr="00F1190F">
        <w:rPr>
          <w:rFonts w:ascii="Times New Roman" w:eastAsia="Calibri" w:hAnsi="Times New Roman" w:cs="Times New Roman" w:hint="cs"/>
          <w:sz w:val="24"/>
          <w:szCs w:val="24"/>
          <w:rtl/>
        </w:rPr>
        <w:t>ל</w:t>
      </w:r>
      <w:r w:rsidRPr="00F1190F">
        <w:rPr>
          <w:rFonts w:ascii="Times New Roman" w:eastAsia="Calibri" w:hAnsi="Times New Roman" w:cs="Times New Roman"/>
          <w:sz w:val="24"/>
          <w:szCs w:val="24"/>
          <w:rtl/>
        </w:rPr>
        <w:t>עולם שאליו ה</w:t>
      </w:r>
      <w:r w:rsidRPr="00F1190F">
        <w:rPr>
          <w:rFonts w:ascii="Times New Roman" w:eastAsia="Calibri" w:hAnsi="Times New Roman" w:cs="Times New Roman" w:hint="cs"/>
          <w:sz w:val="24"/>
          <w:szCs w:val="24"/>
          <w:rtl/>
        </w:rPr>
        <w:t>ם</w:t>
      </w:r>
      <w:r w:rsidRPr="00F1190F">
        <w:rPr>
          <w:rFonts w:ascii="Times New Roman" w:eastAsia="Calibri" w:hAnsi="Times New Roman" w:cs="Times New Roman"/>
          <w:sz w:val="24"/>
          <w:szCs w:val="24"/>
          <w:rtl/>
        </w:rPr>
        <w:t xml:space="preserve"> מתייחס</w:t>
      </w:r>
      <w:r w:rsidRPr="00F1190F">
        <w:rPr>
          <w:rFonts w:ascii="Times New Roman" w:eastAsia="Calibri" w:hAnsi="Times New Roman" w:cs="Times New Roman" w:hint="cs"/>
          <w:sz w:val="24"/>
          <w:szCs w:val="24"/>
          <w:rtl/>
        </w:rPr>
        <w:t>ים</w:t>
      </w:r>
      <w:r w:rsidRPr="00F1190F">
        <w:rPr>
          <w:rFonts w:ascii="Times New Roman" w:eastAsia="Calibri" w:hAnsi="Times New Roman" w:cs="Times New Roman"/>
          <w:sz w:val="24"/>
          <w:szCs w:val="24"/>
          <w:rtl/>
        </w:rPr>
        <w:t>, זאת</w:t>
      </w:r>
      <w:r w:rsidRPr="00F1190F">
        <w:rPr>
          <w:rFonts w:ascii="Times New Roman" w:eastAsia="Calibri" w:hAnsi="Times New Roman" w:cs="Times New Roman" w:hint="cs"/>
          <w:sz w:val="24"/>
          <w:szCs w:val="24"/>
          <w:rtl/>
        </w:rPr>
        <w:t xml:space="preserve"> </w:t>
      </w:r>
      <w:r w:rsidRPr="00F1190F">
        <w:rPr>
          <w:rFonts w:ascii="Times New Roman" w:eastAsia="Calibri" w:hAnsi="Times New Roman" w:cs="Times New Roman"/>
          <w:sz w:val="24"/>
          <w:szCs w:val="24"/>
          <w:rtl/>
        </w:rPr>
        <w:t>ב</w:t>
      </w:r>
      <w:r w:rsidRPr="00F1190F">
        <w:rPr>
          <w:rFonts w:ascii="Times New Roman" w:eastAsia="Calibri" w:hAnsi="Times New Roman" w:cs="Times New Roman" w:hint="cs"/>
          <w:sz w:val="24"/>
          <w:szCs w:val="24"/>
          <w:rtl/>
        </w:rPr>
        <w:t>זכות</w:t>
      </w:r>
      <w:r w:rsidRPr="00F1190F">
        <w:rPr>
          <w:rFonts w:ascii="Times New Roman" w:eastAsia="Calibri" w:hAnsi="Times New Roman" w:cs="Times New Roman"/>
          <w:sz w:val="24"/>
          <w:szCs w:val="24"/>
          <w:rtl/>
        </w:rPr>
        <w:t xml:space="preserve"> הוספת מימד </w:t>
      </w:r>
      <w:r w:rsidRPr="00F1190F">
        <w:rPr>
          <w:rFonts w:ascii="Times New Roman" w:eastAsia="Calibri" w:hAnsi="Times New Roman" w:cs="Times New Roman" w:hint="cs"/>
          <w:sz w:val="24"/>
          <w:szCs w:val="24"/>
          <w:rtl/>
        </w:rPr>
        <w:t>ה</w:t>
      </w:r>
      <w:r w:rsidRPr="00F1190F">
        <w:rPr>
          <w:rFonts w:ascii="Times New Roman" w:eastAsia="Calibri" w:hAnsi="Times New Roman" w:cs="Times New Roman"/>
          <w:sz w:val="24"/>
          <w:szCs w:val="24"/>
          <w:rtl/>
        </w:rPr>
        <w:t xml:space="preserve">קריאה </w:t>
      </w:r>
      <w:r w:rsidRPr="00F1190F">
        <w:rPr>
          <w:rFonts w:ascii="Times New Roman" w:eastAsia="Calibri" w:hAnsi="Times New Roman" w:cs="Times New Roman" w:hint="cs"/>
          <w:sz w:val="24"/>
          <w:szCs w:val="24"/>
          <w:rtl/>
        </w:rPr>
        <w:t>ה</w:t>
      </w:r>
      <w:r w:rsidRPr="00F1190F">
        <w:rPr>
          <w:rFonts w:ascii="Times New Roman" w:eastAsia="Calibri" w:hAnsi="Times New Roman" w:cs="Times New Roman"/>
          <w:sz w:val="24"/>
          <w:szCs w:val="24"/>
          <w:rtl/>
        </w:rPr>
        <w:t>אתית ביצירתו של פוגל ומיקומו בתוך עולם התגובות האירופאיות – שטרם הוצע בעבר –  בתחום הפילוסופיה והספרות, למשבר מפנה המאה התשע-עשרה</w:t>
      </w:r>
      <w:r w:rsidRPr="00F1190F">
        <w:rPr>
          <w:rFonts w:ascii="Times New Roman" w:eastAsia="Calibri" w:hAnsi="Times New Roman" w:cs="Times New Roman" w:hint="cs"/>
          <w:sz w:val="24"/>
          <w:szCs w:val="24"/>
          <w:rtl/>
        </w:rPr>
        <w:t>/</w:t>
      </w:r>
      <w:r w:rsidRPr="00F1190F">
        <w:rPr>
          <w:rFonts w:ascii="Times New Roman" w:eastAsia="Calibri" w:hAnsi="Times New Roman" w:cs="Times New Roman"/>
          <w:sz w:val="24"/>
          <w:szCs w:val="24"/>
          <w:rtl/>
        </w:rPr>
        <w:t>עשרים. הֶקְשֵׁר זה מ</w:t>
      </w:r>
      <w:r w:rsidRPr="00F1190F">
        <w:rPr>
          <w:rFonts w:ascii="Times New Roman" w:eastAsia="Calibri" w:hAnsi="Times New Roman" w:cs="Times New Roman" w:hint="cs"/>
          <w:sz w:val="24"/>
          <w:szCs w:val="24"/>
          <w:rtl/>
        </w:rPr>
        <w:t>בהיר כי</w:t>
      </w:r>
      <w:r w:rsidRPr="00F1190F">
        <w:rPr>
          <w:rFonts w:ascii="Times New Roman" w:eastAsia="Calibri" w:hAnsi="Times New Roman" w:cs="Times New Roman"/>
          <w:sz w:val="24"/>
          <w:szCs w:val="24"/>
          <w:rtl/>
        </w:rPr>
        <w:t xml:space="preserve"> </w:t>
      </w:r>
      <w:r w:rsidRPr="00F1190F">
        <w:rPr>
          <w:rFonts w:ascii="Times New Roman" w:eastAsia="Calibri" w:hAnsi="Times New Roman" w:cs="Times New Roman" w:hint="cs"/>
          <w:sz w:val="24"/>
          <w:szCs w:val="24"/>
          <w:rtl/>
        </w:rPr>
        <w:t>ב</w:t>
      </w:r>
      <w:r w:rsidRPr="00F1190F">
        <w:rPr>
          <w:rFonts w:ascii="Times New Roman" w:eastAsia="Calibri" w:hAnsi="Times New Roman" w:cs="Times New Roman"/>
          <w:sz w:val="24"/>
          <w:szCs w:val="24"/>
          <w:rtl/>
        </w:rPr>
        <w:t>יצירתו של פוגל</w:t>
      </w:r>
      <w:r w:rsidRPr="00F1190F">
        <w:rPr>
          <w:rFonts w:ascii="Times New Roman" w:eastAsia="Calibri" w:hAnsi="Times New Roman" w:cs="Times New Roman" w:hint="cs"/>
          <w:sz w:val="24"/>
          <w:szCs w:val="24"/>
          <w:rtl/>
        </w:rPr>
        <w:t xml:space="preserve"> יסוד ביקורתי</w:t>
      </w:r>
      <w:r w:rsidRPr="00F1190F">
        <w:rPr>
          <w:rFonts w:ascii="Times New Roman" w:eastAsia="Calibri" w:hAnsi="Times New Roman" w:cs="Times New Roman"/>
          <w:sz w:val="24"/>
          <w:szCs w:val="24"/>
          <w:rtl/>
        </w:rPr>
        <w:t xml:space="preserve"> משמעותי מבחינת המקום והזמן, ומתייחס לכלל יצירותיו בפרוזה של פוגל כיחידה אחת, בה היצירות השונות ממשיכות ומשלימות את ההתייחסות לאותם הנושאים</w:t>
      </w:r>
      <w:r w:rsidRPr="00F1190F">
        <w:rPr>
          <w:rFonts w:ascii="Times New Roman" w:eastAsia="Calibri" w:hAnsi="Times New Roman" w:cs="Times New Roman" w:hint="cs"/>
          <w:sz w:val="24"/>
          <w:szCs w:val="24"/>
          <w:rtl/>
        </w:rPr>
        <w:t>.</w:t>
      </w:r>
      <w:r w:rsidRPr="00F1190F">
        <w:rPr>
          <w:rFonts w:ascii="Times New Roman" w:eastAsia="Calibri" w:hAnsi="Times New Roman" w:cs="Times New Roman"/>
          <w:sz w:val="24"/>
          <w:szCs w:val="24"/>
          <w:rtl/>
        </w:rPr>
        <w:t xml:space="preserve"> בבסיסן – מבחינה סגנונית אך בעיקר מבחינה תוכנית – המצב הפוליטי-חברתי ששרר באירופה באותה התקופה</w:t>
      </w:r>
      <w:r w:rsidRPr="00F1190F">
        <w:rPr>
          <w:rFonts w:ascii="Times New Roman" w:eastAsia="Calibri" w:hAnsi="Times New Roman" w:cs="Times New Roman" w:hint="cs"/>
          <w:sz w:val="24"/>
          <w:szCs w:val="24"/>
          <w:rtl/>
        </w:rPr>
        <w:t>.</w:t>
      </w:r>
      <w:r w:rsidRPr="00F1190F">
        <w:rPr>
          <w:rFonts w:ascii="Times New Roman" w:eastAsia="Calibri" w:hAnsi="Times New Roman" w:cs="Times New Roman"/>
          <w:sz w:val="24"/>
          <w:szCs w:val="24"/>
          <w:rtl/>
        </w:rPr>
        <w:t xml:space="preserve"> תיאורי</w:t>
      </w:r>
      <w:r w:rsidRPr="00F1190F">
        <w:rPr>
          <w:rFonts w:ascii="Times New Roman" w:eastAsia="Calibri" w:hAnsi="Times New Roman" w:cs="Times New Roman" w:hint="cs"/>
          <w:sz w:val="24"/>
          <w:szCs w:val="24"/>
          <w:rtl/>
        </w:rPr>
        <w:t>ה</w:t>
      </w:r>
      <w:r w:rsidRPr="00F1190F">
        <w:rPr>
          <w:rFonts w:ascii="Times New Roman" w:eastAsia="Calibri" w:hAnsi="Times New Roman" w:cs="Times New Roman"/>
          <w:sz w:val="24"/>
          <w:szCs w:val="24"/>
          <w:rtl/>
        </w:rPr>
        <w:t xml:space="preserve">ם של חיים פרטיים ואישיים נקראים </w:t>
      </w:r>
      <w:r w:rsidRPr="00F1190F">
        <w:rPr>
          <w:rFonts w:ascii="Times New Roman" w:eastAsia="Calibri" w:hAnsi="Times New Roman" w:cs="Times New Roman" w:hint="cs"/>
          <w:sz w:val="24"/>
          <w:szCs w:val="24"/>
          <w:rtl/>
        </w:rPr>
        <w:t xml:space="preserve">אפוא </w:t>
      </w:r>
      <w:r w:rsidRPr="00F1190F">
        <w:rPr>
          <w:rFonts w:ascii="Times New Roman" w:eastAsia="Calibri" w:hAnsi="Times New Roman" w:cs="Times New Roman"/>
          <w:sz w:val="24"/>
          <w:szCs w:val="24"/>
          <w:rtl/>
        </w:rPr>
        <w:t>כ</w:t>
      </w:r>
      <w:r w:rsidRPr="00F1190F">
        <w:rPr>
          <w:rFonts w:ascii="Times New Roman" w:eastAsia="Calibri" w:hAnsi="Times New Roman" w:cs="Times New Roman" w:hint="cs"/>
          <w:sz w:val="24"/>
          <w:szCs w:val="24"/>
          <w:rtl/>
        </w:rPr>
        <w:t xml:space="preserve">גילום של </w:t>
      </w:r>
      <w:r w:rsidRPr="00F1190F">
        <w:rPr>
          <w:rFonts w:ascii="Times New Roman" w:eastAsia="Calibri" w:hAnsi="Times New Roman" w:cs="Times New Roman"/>
          <w:sz w:val="24"/>
          <w:szCs w:val="24"/>
          <w:rtl/>
        </w:rPr>
        <w:t xml:space="preserve">בעיות חברתיות ומתח פוליטי שהוביל בסופו של דבר למלחמות </w:t>
      </w:r>
      <w:r w:rsidRPr="00F1190F">
        <w:rPr>
          <w:rFonts w:ascii="Times New Roman" w:eastAsia="Calibri" w:hAnsi="Times New Roman" w:cs="Times New Roman" w:hint="cs"/>
          <w:sz w:val="24"/>
          <w:szCs w:val="24"/>
          <w:rtl/>
        </w:rPr>
        <w:t>ה</w:t>
      </w:r>
      <w:r w:rsidRPr="00F1190F">
        <w:rPr>
          <w:rFonts w:ascii="Times New Roman" w:eastAsia="Calibri" w:hAnsi="Times New Roman" w:cs="Times New Roman"/>
          <w:sz w:val="24"/>
          <w:szCs w:val="24"/>
          <w:rtl/>
        </w:rPr>
        <w:t xml:space="preserve">עולם.  </w:t>
      </w:r>
    </w:p>
    <w:p w:rsidR="00555FF8" w:rsidRDefault="00555FF8"/>
    <w:sectPr w:rsidR="00555FF8" w:rsidSect="000B50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Reg">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0F"/>
    <w:rsid w:val="00026A6F"/>
    <w:rsid w:val="000B509D"/>
    <w:rsid w:val="00462D5B"/>
    <w:rsid w:val="00555FF8"/>
    <w:rsid w:val="00F11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E8A74-3482-4FA9-9CB7-60F9FC07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9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4133</Characters>
  <Application>Microsoft Office Word</Application>
  <DocSecurity>4</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cahalany</dc:creator>
  <cp:keywords/>
  <dc:description/>
  <cp:lastModifiedBy>Edna Dar</cp:lastModifiedBy>
  <cp:revision>2</cp:revision>
  <dcterms:created xsi:type="dcterms:W3CDTF">2021-07-15T09:40:00Z</dcterms:created>
  <dcterms:modified xsi:type="dcterms:W3CDTF">2021-07-15T09:40:00Z</dcterms:modified>
</cp:coreProperties>
</file>