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50E87" w:rsidRDefault="00764907">
      <w:pPr>
        <w:spacing w:line="480" w:lineRule="auto"/>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Translation, Literature and Ethics: Reading J.M Coetzee, Cynthia Ozick and W.G. Sebald</w:t>
      </w:r>
    </w:p>
    <w:p w14:paraId="00000002" w14:textId="77777777" w:rsidR="00D50E87" w:rsidRDefault="0076490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Maya Klein</w:t>
      </w:r>
    </w:p>
    <w:p w14:paraId="00000003" w14:textId="77777777" w:rsidR="00D50E87" w:rsidRDefault="00D50E87">
      <w:pPr>
        <w:spacing w:line="480" w:lineRule="auto"/>
        <w:rPr>
          <w:rFonts w:ascii="Times New Roman" w:eastAsia="Times New Roman" w:hAnsi="Times New Roman" w:cs="Times New Roman"/>
          <w:sz w:val="24"/>
          <w:szCs w:val="24"/>
        </w:rPr>
      </w:pPr>
    </w:p>
    <w:p w14:paraId="00000004" w14:textId="77777777" w:rsidR="00D50E87" w:rsidRDefault="00764907">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Abstract</w:t>
      </w:r>
    </w:p>
    <w:p w14:paraId="00000005" w14:textId="77777777" w:rsidR="00D50E87" w:rsidRDefault="00D50E87">
      <w:pPr>
        <w:spacing w:line="480" w:lineRule="auto"/>
        <w:rPr>
          <w:rFonts w:ascii="Times New Roman" w:eastAsia="Times New Roman" w:hAnsi="Times New Roman" w:cs="Times New Roman"/>
          <w:sz w:val="24"/>
          <w:szCs w:val="24"/>
        </w:rPr>
      </w:pPr>
    </w:p>
    <w:p w14:paraId="00000006" w14:textId="77777777" w:rsidR="00D50E87" w:rsidRDefault="0076490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thesis examines translation within the literary oeuvres of three twentieth and twenty-first century writers, J.M. Coetzee, Cynthia Ozick and W.G. Sebald. An analysis of their distinct bodies of work reveals translation as a complex device that manifes</w:t>
      </w:r>
      <w:r>
        <w:rPr>
          <w:rFonts w:ascii="Times New Roman" w:eastAsia="Times New Roman" w:hAnsi="Times New Roman" w:cs="Times New Roman"/>
          <w:sz w:val="24"/>
          <w:szCs w:val="24"/>
        </w:rPr>
        <w:t xml:space="preserve">ts differently in each case, yet also points to important common ground, in which the discourse of translation reveals the underlying ethical notions invested in each writer’s vision. </w:t>
      </w:r>
    </w:p>
    <w:p w14:paraId="00000007" w14:textId="77777777" w:rsidR="00D50E87" w:rsidRDefault="0076490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Rather than focusing on translation in comparative form, as an evaluat</w:t>
      </w:r>
      <w:r>
        <w:rPr>
          <w:rFonts w:ascii="Times New Roman" w:eastAsia="Times New Roman" w:hAnsi="Times New Roman" w:cs="Times New Roman"/>
          <w:sz w:val="24"/>
          <w:szCs w:val="24"/>
        </w:rPr>
        <w:t>ion of “source” and “target” texts (and their differences, similarities, losses or gains), in this study translation is considered within a literary work, where it surfaces as a thematic component, a stylistic feature, and a guiding element in its receptio</w:t>
      </w:r>
      <w:r>
        <w:rPr>
          <w:rFonts w:ascii="Times New Roman" w:eastAsia="Times New Roman" w:hAnsi="Times New Roman" w:cs="Times New Roman"/>
          <w:sz w:val="24"/>
          <w:szCs w:val="24"/>
        </w:rPr>
        <w:t>n, what has been termed the “afterlife” of a literary work. Translation is thus regarded as a border concept between cultural studies and literary theory, and fictional works treated as sites of activated meaning, an approach that takes into account questi</w:t>
      </w:r>
      <w:r>
        <w:rPr>
          <w:rFonts w:ascii="Times New Roman" w:eastAsia="Times New Roman" w:hAnsi="Times New Roman" w:cs="Times New Roman"/>
          <w:sz w:val="24"/>
          <w:szCs w:val="24"/>
        </w:rPr>
        <w:t xml:space="preserve">ons of readerly activity and the demands made by each author on their readers. </w:t>
      </w:r>
    </w:p>
    <w:p w14:paraId="00000008" w14:textId="77777777" w:rsidR="00D50E87" w:rsidRDefault="0076490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such, the thesis addresses a gap in theory regarding “intra-textual” translation, the myriad ways translation can appear within a work of literature, and it examines the sig</w:t>
      </w:r>
      <w:r>
        <w:rPr>
          <w:rFonts w:ascii="Times New Roman" w:eastAsia="Times New Roman" w:hAnsi="Times New Roman" w:cs="Times New Roman"/>
          <w:sz w:val="24"/>
          <w:szCs w:val="24"/>
        </w:rPr>
        <w:t xml:space="preserve">nificance of the practice for these multilingual writers while underscoring the ramifications of moving through their different languages. </w:t>
      </w:r>
    </w:p>
    <w:p w14:paraId="00000009" w14:textId="77777777" w:rsidR="00D50E87" w:rsidRDefault="0076490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Following what has been called the “cultural turn” in the late 1990’s, the discourse of literary translation expande</w:t>
      </w:r>
      <w:r>
        <w:rPr>
          <w:rFonts w:ascii="Times New Roman" w:eastAsia="Times New Roman" w:hAnsi="Times New Roman" w:cs="Times New Roman"/>
          <w:sz w:val="24"/>
          <w:szCs w:val="24"/>
        </w:rPr>
        <w:t xml:space="preserve">d from an inquiry centered on fidelity and translation practices, to one </w:t>
      </w:r>
      <w:r>
        <w:rPr>
          <w:rFonts w:ascii="Times New Roman" w:eastAsia="Times New Roman" w:hAnsi="Times New Roman" w:cs="Times New Roman"/>
          <w:sz w:val="24"/>
          <w:szCs w:val="24"/>
        </w:rPr>
        <w:lastRenderedPageBreak/>
        <w:t>that considers the significance of both the cultural history that informs translation, and the position of the translator and the translated text. This study is in line with the “cult</w:t>
      </w:r>
      <w:r>
        <w:rPr>
          <w:rFonts w:ascii="Times New Roman" w:eastAsia="Times New Roman" w:hAnsi="Times New Roman" w:cs="Times New Roman"/>
          <w:sz w:val="24"/>
          <w:szCs w:val="24"/>
        </w:rPr>
        <w:t>ural turn” in its evaluation of translation and is also inspired by more recent developments that have highlighted its significance for literary theory from different‒even disparate‒points of view, such as Rebecca Walkowitz’s formulation of the “born trans</w:t>
      </w:r>
      <w:r>
        <w:rPr>
          <w:rFonts w:ascii="Times New Roman" w:eastAsia="Times New Roman" w:hAnsi="Times New Roman" w:cs="Times New Roman"/>
          <w:sz w:val="24"/>
          <w:szCs w:val="24"/>
        </w:rPr>
        <w:t>lated” literary work and Emily Apter’s notion of the “translation zone” and defense of untranslatability, as well as Bella Brodzki’s account of translation as both cultural loss and survival. In addition, the analysis draws from literary criticism that per</w:t>
      </w:r>
      <w:r>
        <w:rPr>
          <w:rFonts w:ascii="Times New Roman" w:eastAsia="Times New Roman" w:hAnsi="Times New Roman" w:cs="Times New Roman"/>
          <w:sz w:val="24"/>
          <w:szCs w:val="24"/>
        </w:rPr>
        <w:t>tains to the philosophical aspects of reading, writing and critiquing texts, such as Derek Attridge’s work, infused by continental philosophy.</w:t>
      </w:r>
    </w:p>
    <w:p w14:paraId="0000000A" w14:textId="77777777" w:rsidR="00D50E87" w:rsidRDefault="0076490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Coetzee, Ozick and Sebald are contemporaries who are not only writers, but critics and translators as well; they </w:t>
      </w:r>
      <w:r>
        <w:rPr>
          <w:rFonts w:ascii="Times New Roman" w:eastAsia="Times New Roman" w:hAnsi="Times New Roman" w:cs="Times New Roman"/>
          <w:sz w:val="24"/>
          <w:szCs w:val="24"/>
        </w:rPr>
        <w:t>share the dual position of critic and writer, a unique vantage point that is crucial for their engagements with translation. Among the many points of similarities between the three, the interplay between their nonfiction and fiction results in a dual (or i</w:t>
      </w:r>
      <w:r>
        <w:rPr>
          <w:rFonts w:ascii="Times New Roman" w:eastAsia="Times New Roman" w:hAnsi="Times New Roman" w:cs="Times New Roman"/>
          <w:sz w:val="24"/>
          <w:szCs w:val="24"/>
        </w:rPr>
        <w:t xml:space="preserve">n-between) position comparable to that of the translator, as is argued in each case. What’s more, translation also illuminates the manner in which these writers negotiate their place within the literary world. </w:t>
      </w:r>
    </w:p>
    <w:p w14:paraId="0000000B" w14:textId="77777777" w:rsidR="00D50E87" w:rsidRDefault="0076490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Coetzee’s case, translation has been signi</w:t>
      </w:r>
      <w:r>
        <w:rPr>
          <w:rFonts w:ascii="Times New Roman" w:eastAsia="Times New Roman" w:hAnsi="Times New Roman" w:cs="Times New Roman"/>
          <w:sz w:val="24"/>
          <w:szCs w:val="24"/>
        </w:rPr>
        <w:t xml:space="preserve">ficant from the outset of his career as both a critic and a writer, and has marked his entrance into “world literature” and subsequent canonization. Chapter one, “Complicity”, addresses Coetzee’s work, fleshing out his dual role as a prolific writer and a </w:t>
      </w:r>
      <w:r>
        <w:rPr>
          <w:rFonts w:ascii="Times New Roman" w:eastAsia="Times New Roman" w:hAnsi="Times New Roman" w:cs="Times New Roman"/>
          <w:sz w:val="24"/>
          <w:szCs w:val="24"/>
        </w:rPr>
        <w:t xml:space="preserve">critic and illuminating the manner in which he writes with an awareness </w:t>
      </w:r>
      <w:proofErr w:type="gramStart"/>
      <w:r>
        <w:rPr>
          <w:rFonts w:ascii="Times New Roman" w:eastAsia="Times New Roman" w:hAnsi="Times New Roman" w:cs="Times New Roman"/>
          <w:sz w:val="24"/>
          <w:szCs w:val="24"/>
        </w:rPr>
        <w:t>of  his</w:t>
      </w:r>
      <w:proofErr w:type="gramEnd"/>
      <w:r>
        <w:rPr>
          <w:rFonts w:ascii="Times New Roman" w:eastAsia="Times New Roman" w:hAnsi="Times New Roman" w:cs="Times New Roman"/>
          <w:sz w:val="24"/>
          <w:szCs w:val="24"/>
        </w:rPr>
        <w:t xml:space="preserve"> own historicization. Although translation appears throughout Coetzee’s fictional oeuvre, it defines his early works in a striking way, therefore the study focuses on two of his</w:t>
      </w:r>
      <w:r>
        <w:rPr>
          <w:rFonts w:ascii="Times New Roman" w:eastAsia="Times New Roman" w:hAnsi="Times New Roman" w:cs="Times New Roman"/>
          <w:sz w:val="24"/>
          <w:szCs w:val="24"/>
        </w:rPr>
        <w:t xml:space="preserve"> novels, his debut </w:t>
      </w:r>
      <w:r>
        <w:rPr>
          <w:rFonts w:ascii="Times New Roman" w:eastAsia="Times New Roman" w:hAnsi="Times New Roman" w:cs="Times New Roman"/>
          <w:i/>
          <w:sz w:val="24"/>
          <w:szCs w:val="24"/>
        </w:rPr>
        <w:t>Dusklands</w:t>
      </w:r>
      <w:r>
        <w:rPr>
          <w:rFonts w:ascii="Times New Roman" w:eastAsia="Times New Roman" w:hAnsi="Times New Roman" w:cs="Times New Roman"/>
          <w:sz w:val="24"/>
          <w:szCs w:val="24"/>
        </w:rPr>
        <w:t xml:space="preserve"> (1974) and </w:t>
      </w:r>
      <w:r>
        <w:rPr>
          <w:rFonts w:ascii="Times New Roman" w:eastAsia="Times New Roman" w:hAnsi="Times New Roman" w:cs="Times New Roman"/>
          <w:i/>
          <w:sz w:val="24"/>
          <w:szCs w:val="24"/>
        </w:rPr>
        <w:t>Waiting for the Barbarians</w:t>
      </w:r>
      <w:r>
        <w:rPr>
          <w:rFonts w:ascii="Times New Roman" w:eastAsia="Times New Roman" w:hAnsi="Times New Roman" w:cs="Times New Roman"/>
          <w:sz w:val="24"/>
          <w:szCs w:val="24"/>
        </w:rPr>
        <w:t xml:space="preserve"> (1980), the latter work solidifying his canonical status within “world literature”. In </w:t>
      </w:r>
      <w:r>
        <w:rPr>
          <w:rFonts w:ascii="Times New Roman" w:eastAsia="Times New Roman" w:hAnsi="Times New Roman" w:cs="Times New Roman"/>
          <w:i/>
          <w:sz w:val="24"/>
          <w:szCs w:val="24"/>
        </w:rPr>
        <w:t xml:space="preserve">Dusklands, </w:t>
      </w:r>
      <w:r>
        <w:rPr>
          <w:rFonts w:ascii="Times New Roman" w:eastAsia="Times New Roman" w:hAnsi="Times New Roman" w:cs="Times New Roman"/>
          <w:sz w:val="24"/>
          <w:szCs w:val="24"/>
        </w:rPr>
        <w:t xml:space="preserve">translation is inexorably linked to </w:t>
      </w:r>
      <w:r>
        <w:rPr>
          <w:rFonts w:ascii="Times New Roman" w:eastAsia="Times New Roman" w:hAnsi="Times New Roman" w:cs="Times New Roman"/>
          <w:sz w:val="24"/>
          <w:szCs w:val="24"/>
        </w:rPr>
        <w:lastRenderedPageBreak/>
        <w:t xml:space="preserve">colonialism and casts the act of writing as complicit, </w:t>
      </w:r>
      <w:r>
        <w:rPr>
          <w:rFonts w:ascii="Times New Roman" w:eastAsia="Times New Roman" w:hAnsi="Times New Roman" w:cs="Times New Roman"/>
          <w:sz w:val="24"/>
          <w:szCs w:val="24"/>
        </w:rPr>
        <w:t>with the translated text potentially usurping the original. The dual nature of translation (original/copy) and its potential for duplicity manifests in Coetzee’s use of author doubles, a prominent feature throughout his oeuvre, and one that is particularly</w:t>
      </w:r>
      <w:r>
        <w:rPr>
          <w:rFonts w:ascii="Times New Roman" w:eastAsia="Times New Roman" w:hAnsi="Times New Roman" w:cs="Times New Roman"/>
          <w:sz w:val="24"/>
          <w:szCs w:val="24"/>
        </w:rPr>
        <w:t xml:space="preserve"> pronounced in </w:t>
      </w:r>
      <w:r>
        <w:rPr>
          <w:rFonts w:ascii="Times New Roman" w:eastAsia="Times New Roman" w:hAnsi="Times New Roman" w:cs="Times New Roman"/>
          <w:i/>
          <w:sz w:val="24"/>
          <w:szCs w:val="24"/>
        </w:rPr>
        <w:t>Dusklands</w:t>
      </w:r>
      <w:r>
        <w:rPr>
          <w:rFonts w:ascii="Times New Roman" w:eastAsia="Times New Roman" w:hAnsi="Times New Roman" w:cs="Times New Roman"/>
          <w:sz w:val="24"/>
          <w:szCs w:val="24"/>
        </w:rPr>
        <w:t xml:space="preserve">, which involves a figure of the translator as an author double who is complicit in the colonial act and its historical documentation. In Coetzee’s later work, </w:t>
      </w:r>
      <w:proofErr w:type="gramStart"/>
      <w:r>
        <w:rPr>
          <w:rFonts w:ascii="Times New Roman" w:eastAsia="Times New Roman" w:hAnsi="Times New Roman" w:cs="Times New Roman"/>
          <w:i/>
          <w:sz w:val="24"/>
          <w:szCs w:val="24"/>
        </w:rPr>
        <w:t>Waiting</w:t>
      </w:r>
      <w:proofErr w:type="gramEnd"/>
      <w:r>
        <w:rPr>
          <w:rFonts w:ascii="Times New Roman" w:eastAsia="Times New Roman" w:hAnsi="Times New Roman" w:cs="Times New Roman"/>
          <w:i/>
          <w:sz w:val="24"/>
          <w:szCs w:val="24"/>
        </w:rPr>
        <w:t xml:space="preserve"> for the Barbarians </w:t>
      </w:r>
      <w:r>
        <w:rPr>
          <w:rFonts w:ascii="Times New Roman" w:eastAsia="Times New Roman" w:hAnsi="Times New Roman" w:cs="Times New Roman"/>
          <w:sz w:val="24"/>
          <w:szCs w:val="24"/>
        </w:rPr>
        <w:t>(1980) translation has a key role, functionin</w:t>
      </w:r>
      <w:r>
        <w:rPr>
          <w:rFonts w:ascii="Times New Roman" w:eastAsia="Times New Roman" w:hAnsi="Times New Roman" w:cs="Times New Roman"/>
          <w:sz w:val="24"/>
          <w:szCs w:val="24"/>
        </w:rPr>
        <w:t xml:space="preserve">g as a metaphorical, stylistic and thematic feature of the novel. Furthermore, </w:t>
      </w:r>
      <w:proofErr w:type="gramStart"/>
      <w:r>
        <w:rPr>
          <w:rFonts w:ascii="Times New Roman" w:eastAsia="Times New Roman" w:hAnsi="Times New Roman" w:cs="Times New Roman"/>
          <w:i/>
          <w:sz w:val="24"/>
          <w:szCs w:val="24"/>
        </w:rPr>
        <w:t>Waiting</w:t>
      </w:r>
      <w:proofErr w:type="gramEnd"/>
      <w:r>
        <w:rPr>
          <w:rFonts w:ascii="Times New Roman" w:eastAsia="Times New Roman" w:hAnsi="Times New Roman" w:cs="Times New Roman"/>
          <w:i/>
          <w:sz w:val="24"/>
          <w:szCs w:val="24"/>
        </w:rPr>
        <w:t xml:space="preserve"> for the Barbarians </w:t>
      </w:r>
      <w:r>
        <w:rPr>
          <w:rFonts w:ascii="Times New Roman" w:eastAsia="Times New Roman" w:hAnsi="Times New Roman" w:cs="Times New Roman"/>
          <w:sz w:val="24"/>
          <w:szCs w:val="24"/>
        </w:rPr>
        <w:t>underscores the significance of gender in translation and the manner in which it relates to power and the colonial context. My analysis also demonstra</w:t>
      </w:r>
      <w:r>
        <w:rPr>
          <w:rFonts w:ascii="Times New Roman" w:eastAsia="Times New Roman" w:hAnsi="Times New Roman" w:cs="Times New Roman"/>
          <w:sz w:val="24"/>
          <w:szCs w:val="24"/>
        </w:rPr>
        <w:t>tes the manner in which translation surfaces in subtle, literary ways, evident in Coetzee’s treatment of language and in the invitation he extends to his readers to take an active interpretive role in his works. I thus argue that these early novels prefigu</w:t>
      </w:r>
      <w:r>
        <w:rPr>
          <w:rFonts w:ascii="Times New Roman" w:eastAsia="Times New Roman" w:hAnsi="Times New Roman" w:cs="Times New Roman"/>
          <w:sz w:val="24"/>
          <w:szCs w:val="24"/>
        </w:rPr>
        <w:t>re Coetzee’s later aesthetic engagements with translation (expressed most recently in the Jesus trilogy) and form a core component of his ethical vision of writing in the English language as an act of complicity.</w:t>
      </w:r>
    </w:p>
    <w:p w14:paraId="0000000C" w14:textId="77777777" w:rsidR="00D50E87" w:rsidRDefault="0076490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While Coetzee negotiates writing in English</w:t>
      </w:r>
      <w:r>
        <w:rPr>
          <w:rFonts w:ascii="Times New Roman" w:eastAsia="Times New Roman" w:hAnsi="Times New Roman" w:cs="Times New Roman"/>
          <w:sz w:val="24"/>
          <w:szCs w:val="24"/>
        </w:rPr>
        <w:t xml:space="preserve"> as complicit in the colonial act, Ozick’s position as a writer in English is deemed an act of transgression; </w:t>
      </w:r>
      <w:proofErr w:type="gramStart"/>
      <w:r>
        <w:rPr>
          <w:rFonts w:ascii="Times New Roman" w:eastAsia="Times New Roman" w:hAnsi="Times New Roman" w:cs="Times New Roman"/>
          <w:sz w:val="24"/>
          <w:szCs w:val="24"/>
        </w:rPr>
        <w:t>firstly</w:t>
      </w:r>
      <w:proofErr w:type="gramEnd"/>
      <w:r>
        <w:rPr>
          <w:rFonts w:ascii="Times New Roman" w:eastAsia="Times New Roman" w:hAnsi="Times New Roman" w:cs="Times New Roman"/>
          <w:sz w:val="24"/>
          <w:szCs w:val="24"/>
        </w:rPr>
        <w:t xml:space="preserve"> as it defies the taboo on idolatry in Judaism and secondly as it departs from Jewish languages. Chapter 2 of the study, titled “Transgress</w:t>
      </w:r>
      <w:r>
        <w:rPr>
          <w:rFonts w:ascii="Times New Roman" w:eastAsia="Times New Roman" w:hAnsi="Times New Roman" w:cs="Times New Roman"/>
          <w:sz w:val="24"/>
          <w:szCs w:val="24"/>
        </w:rPr>
        <w:t>ion”, demonstrates that translation links the central concerns of Cynthia Ozick’s work, which include the role of the critic, the clash between Hebraism and Hellenism, the cultural significance of gender, as well as the broader question of language, crucia</w:t>
      </w:r>
      <w:r>
        <w:rPr>
          <w:rFonts w:ascii="Times New Roman" w:eastAsia="Times New Roman" w:hAnsi="Times New Roman" w:cs="Times New Roman"/>
          <w:sz w:val="24"/>
          <w:szCs w:val="24"/>
        </w:rPr>
        <w:t>l to Ozick’s conception of a Jewish literature in English. I argue that Ozick carves out a role as a Jewish writer that both entails transgression and enacts a transformation of English in order to accommodate Judaic thought. The analysis also considers th</w:t>
      </w:r>
      <w:r>
        <w:rPr>
          <w:rFonts w:ascii="Times New Roman" w:eastAsia="Times New Roman" w:hAnsi="Times New Roman" w:cs="Times New Roman"/>
          <w:sz w:val="24"/>
          <w:szCs w:val="24"/>
        </w:rPr>
        <w:t>e different attitude Ozick displays towards Hebrew and Yiddish, specifically as the latter is seen to need safeguarding (and translation) as opposed to Hebrew, a holy and thus eternal language. The related issue of the gendering of Hebrew and Yiddish is ad</w:t>
      </w:r>
      <w:r>
        <w:rPr>
          <w:rFonts w:ascii="Times New Roman" w:eastAsia="Times New Roman" w:hAnsi="Times New Roman" w:cs="Times New Roman"/>
          <w:sz w:val="24"/>
          <w:szCs w:val="24"/>
        </w:rPr>
        <w:t xml:space="preserve">dressed as well. </w:t>
      </w:r>
    </w:p>
    <w:p w14:paraId="0000000D" w14:textId="77777777" w:rsidR="00D50E87" w:rsidRDefault="0076490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Along with Ozick’s prominent works of nonfiction such as her lecture “Towards a New Yiddish” (1970), I analyze Ozick’s cast of defiant female characters who resist or subvert patriarchal notions of authorship and creation, and often take </w:t>
      </w:r>
      <w:r>
        <w:rPr>
          <w:rFonts w:ascii="Times New Roman" w:eastAsia="Times New Roman" w:hAnsi="Times New Roman" w:cs="Times New Roman"/>
          <w:sz w:val="24"/>
          <w:szCs w:val="24"/>
        </w:rPr>
        <w:t xml:space="preserve">on the role of the translator. Two fictional works are discussed in detail: the novel </w:t>
      </w:r>
      <w:r>
        <w:rPr>
          <w:rFonts w:ascii="Times New Roman" w:eastAsia="Times New Roman" w:hAnsi="Times New Roman" w:cs="Times New Roman"/>
          <w:i/>
          <w:sz w:val="24"/>
          <w:szCs w:val="24"/>
        </w:rPr>
        <w:t>Foreign Bodies</w:t>
      </w:r>
      <w:r>
        <w:rPr>
          <w:rFonts w:ascii="Times New Roman" w:eastAsia="Times New Roman" w:hAnsi="Times New Roman" w:cs="Times New Roman"/>
          <w:sz w:val="24"/>
          <w:szCs w:val="24"/>
        </w:rPr>
        <w:t xml:space="preserve"> (2010), a rewriting of Henry James’s </w:t>
      </w:r>
      <w:r>
        <w:rPr>
          <w:rFonts w:ascii="Times New Roman" w:eastAsia="Times New Roman" w:hAnsi="Times New Roman" w:cs="Times New Roman"/>
          <w:i/>
          <w:sz w:val="24"/>
          <w:szCs w:val="24"/>
        </w:rPr>
        <w:t>The Ambassadors</w:t>
      </w:r>
      <w:r>
        <w:rPr>
          <w:rFonts w:ascii="Times New Roman" w:eastAsia="Times New Roman" w:hAnsi="Times New Roman" w:cs="Times New Roman"/>
          <w:sz w:val="24"/>
          <w:szCs w:val="24"/>
        </w:rPr>
        <w:t xml:space="preserve"> (1903) and the novella “Envy: Or Yiddish in America” (1969). </w:t>
      </w:r>
      <w:r>
        <w:rPr>
          <w:rFonts w:ascii="Times New Roman" w:eastAsia="Times New Roman" w:hAnsi="Times New Roman" w:cs="Times New Roman"/>
          <w:i/>
          <w:sz w:val="24"/>
          <w:szCs w:val="24"/>
        </w:rPr>
        <w:t>Foreign Bodies</w:t>
      </w:r>
      <w:r>
        <w:rPr>
          <w:rFonts w:ascii="Times New Roman" w:eastAsia="Times New Roman" w:hAnsi="Times New Roman" w:cs="Times New Roman"/>
          <w:sz w:val="24"/>
          <w:szCs w:val="24"/>
        </w:rPr>
        <w:t xml:space="preserve"> introduces the notion of t</w:t>
      </w:r>
      <w:r>
        <w:rPr>
          <w:rFonts w:ascii="Times New Roman" w:eastAsia="Times New Roman" w:hAnsi="Times New Roman" w:cs="Times New Roman"/>
          <w:sz w:val="24"/>
          <w:szCs w:val="24"/>
        </w:rPr>
        <w:t xml:space="preserve">ranslation as a moral endeavor (it can literally save lives) and engages intertextual allusion for a form of </w:t>
      </w:r>
      <w:r>
        <w:rPr>
          <w:rFonts w:ascii="Times New Roman" w:eastAsia="Times New Roman" w:hAnsi="Times New Roman" w:cs="Times New Roman"/>
          <w:i/>
          <w:sz w:val="24"/>
          <w:szCs w:val="24"/>
        </w:rPr>
        <w:t>tikkun</w:t>
      </w:r>
      <w:r>
        <w:rPr>
          <w:rFonts w:ascii="Times New Roman" w:eastAsia="Times New Roman" w:hAnsi="Times New Roman" w:cs="Times New Roman"/>
          <w:sz w:val="24"/>
          <w:szCs w:val="24"/>
        </w:rPr>
        <w:t xml:space="preserve"> that suggests a literary vision inclusive of gendered “bodies”, their silences and accents. While “Envy: Or Yiddish in America” features a d</w:t>
      </w:r>
      <w:r>
        <w:rPr>
          <w:rFonts w:ascii="Times New Roman" w:eastAsia="Times New Roman" w:hAnsi="Times New Roman" w:cs="Times New Roman"/>
          <w:sz w:val="24"/>
          <w:szCs w:val="24"/>
        </w:rPr>
        <w:t>efiant female translator, it also emphasizes the particularities of the Yiddish language, sociolinguistically and historically, underscoring both the destructive and restorative forces of its literary translations. The study illustrates how in this novella</w:t>
      </w:r>
      <w:r>
        <w:rPr>
          <w:rFonts w:ascii="Times New Roman" w:eastAsia="Times New Roman" w:hAnsi="Times New Roman" w:cs="Times New Roman"/>
          <w:sz w:val="24"/>
          <w:szCs w:val="24"/>
        </w:rPr>
        <w:t xml:space="preserve"> Ozick takes on the paradox of translation as obliteration/cultural survival, and gives translation a dual function as both a theme as well as a performance within the work.</w:t>
      </w:r>
    </w:p>
    <w:p w14:paraId="0000000E" w14:textId="77777777" w:rsidR="00D50E87" w:rsidRDefault="0076490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While Coetzee and Ozick employ translation as subversion or even</w:t>
      </w:r>
      <w:r>
        <w:rPr>
          <w:rFonts w:ascii="Times New Roman" w:eastAsia="Times New Roman" w:hAnsi="Times New Roman" w:cs="Times New Roman"/>
          <w:i/>
          <w:sz w:val="24"/>
          <w:szCs w:val="24"/>
        </w:rPr>
        <w:t xml:space="preserve"> tikkun</w:t>
      </w:r>
      <w:r>
        <w:rPr>
          <w:rFonts w:ascii="Times New Roman" w:eastAsia="Times New Roman" w:hAnsi="Times New Roman" w:cs="Times New Roman"/>
          <w:sz w:val="24"/>
          <w:szCs w:val="24"/>
        </w:rPr>
        <w:t xml:space="preserve"> (respectiv</w:t>
      </w:r>
      <w:r>
        <w:rPr>
          <w:rFonts w:ascii="Times New Roman" w:eastAsia="Times New Roman" w:hAnsi="Times New Roman" w:cs="Times New Roman"/>
          <w:sz w:val="24"/>
          <w:szCs w:val="24"/>
        </w:rPr>
        <w:t>ely), in their native English language, W.G. Sebald engages with English as a translation. Thus, the third chapter, “Restitution,” which relates to Sebald in English (and as writer deeply invested in his translations), expands to address the reception of a</w:t>
      </w:r>
      <w:r>
        <w:rPr>
          <w:rFonts w:ascii="Times New Roman" w:eastAsia="Times New Roman" w:hAnsi="Times New Roman" w:cs="Times New Roman"/>
          <w:sz w:val="24"/>
          <w:szCs w:val="24"/>
        </w:rPr>
        <w:t xml:space="preserve"> literary work and conversely, its production as well— how an author can participate in the rewriting of his works through translation. As will be argued, translation has also proved revelatory of problematic aspects in relation to the poetics and ethics o</w:t>
      </w:r>
      <w:r>
        <w:rPr>
          <w:rFonts w:ascii="Times New Roman" w:eastAsia="Times New Roman" w:hAnsi="Times New Roman" w:cs="Times New Roman"/>
          <w:sz w:val="24"/>
          <w:szCs w:val="24"/>
        </w:rPr>
        <w:t xml:space="preserve">f representation, one of Sebald’s chief concerns. Two works are analyzed in detail: Sebald’s last published piece of fiction, </w:t>
      </w:r>
      <w:r>
        <w:rPr>
          <w:rFonts w:ascii="Times New Roman" w:eastAsia="Times New Roman" w:hAnsi="Times New Roman" w:cs="Times New Roman"/>
          <w:i/>
          <w:sz w:val="24"/>
          <w:szCs w:val="24"/>
        </w:rPr>
        <w:t>Austerlitz</w:t>
      </w:r>
      <w:r>
        <w:rPr>
          <w:rFonts w:ascii="Times New Roman" w:eastAsia="Times New Roman" w:hAnsi="Times New Roman" w:cs="Times New Roman"/>
          <w:sz w:val="24"/>
          <w:szCs w:val="24"/>
        </w:rPr>
        <w:t xml:space="preserve"> (2001), and his most well-known collection of nonfiction, </w:t>
      </w:r>
      <w:r>
        <w:rPr>
          <w:rFonts w:ascii="Times New Roman" w:eastAsia="Times New Roman" w:hAnsi="Times New Roman" w:cs="Times New Roman"/>
          <w:i/>
          <w:sz w:val="24"/>
          <w:szCs w:val="24"/>
        </w:rPr>
        <w:t>Luftkrieg und Literatur</w:t>
      </w:r>
      <w:r>
        <w:rPr>
          <w:rFonts w:ascii="Times New Roman" w:eastAsia="Times New Roman" w:hAnsi="Times New Roman" w:cs="Times New Roman"/>
          <w:sz w:val="24"/>
          <w:szCs w:val="24"/>
        </w:rPr>
        <w:t xml:space="preserve"> (1999). Since </w:t>
      </w:r>
      <w:r>
        <w:rPr>
          <w:rFonts w:ascii="Times New Roman" w:eastAsia="Times New Roman" w:hAnsi="Times New Roman" w:cs="Times New Roman"/>
          <w:i/>
          <w:sz w:val="24"/>
          <w:szCs w:val="24"/>
        </w:rPr>
        <w:t>Austerlitz</w:t>
      </w:r>
      <w:r>
        <w:rPr>
          <w:rFonts w:ascii="Times New Roman" w:eastAsia="Times New Roman" w:hAnsi="Times New Roman" w:cs="Times New Roman"/>
          <w:sz w:val="24"/>
          <w:szCs w:val="24"/>
        </w:rPr>
        <w:t xml:space="preserve"> is entangled</w:t>
      </w:r>
      <w:r>
        <w:rPr>
          <w:rFonts w:ascii="Times New Roman" w:eastAsia="Times New Roman" w:hAnsi="Times New Roman" w:cs="Times New Roman"/>
          <w:sz w:val="24"/>
          <w:szCs w:val="24"/>
        </w:rPr>
        <w:t xml:space="preserve"> with translation, memory and linguistic states of paralysis, this study focuses on the novel’s employment of “already translated” narrative, and the role of the narrator figure (and author double) as a translator. I argue that </w:t>
      </w:r>
      <w:r>
        <w:rPr>
          <w:rFonts w:ascii="Times New Roman" w:eastAsia="Times New Roman" w:hAnsi="Times New Roman" w:cs="Times New Roman"/>
          <w:i/>
          <w:sz w:val="24"/>
          <w:szCs w:val="24"/>
        </w:rPr>
        <w:t xml:space="preserve">Austerlitz </w:t>
      </w:r>
      <w:r>
        <w:rPr>
          <w:rFonts w:ascii="Times New Roman" w:eastAsia="Times New Roman" w:hAnsi="Times New Roman" w:cs="Times New Roman"/>
          <w:sz w:val="24"/>
          <w:szCs w:val="24"/>
        </w:rPr>
        <w:t>is a novel compli</w:t>
      </w:r>
      <w:r>
        <w:rPr>
          <w:rFonts w:ascii="Times New Roman" w:eastAsia="Times New Roman" w:hAnsi="Times New Roman" w:cs="Times New Roman"/>
          <w:sz w:val="24"/>
          <w:szCs w:val="24"/>
        </w:rPr>
        <w:t>cated by a movement of translation, adaptation and appropriation, with regard both to the positioning of narrator/author figure as translator and to Sebald’s unauthorized incorporation of biography in this work. Relatedly, the role of translation in the re</w:t>
      </w:r>
      <w:r>
        <w:rPr>
          <w:rFonts w:ascii="Times New Roman" w:eastAsia="Times New Roman" w:hAnsi="Times New Roman" w:cs="Times New Roman"/>
          <w:sz w:val="24"/>
          <w:szCs w:val="24"/>
        </w:rPr>
        <w:t xml:space="preserve">ception or “afterlife” of </w:t>
      </w:r>
      <w:r>
        <w:rPr>
          <w:rFonts w:ascii="Times New Roman" w:eastAsia="Times New Roman" w:hAnsi="Times New Roman" w:cs="Times New Roman"/>
          <w:i/>
          <w:sz w:val="24"/>
          <w:szCs w:val="24"/>
        </w:rPr>
        <w:t>Austerlitz</w:t>
      </w:r>
      <w:r>
        <w:rPr>
          <w:rFonts w:ascii="Times New Roman" w:eastAsia="Times New Roman" w:hAnsi="Times New Roman" w:cs="Times New Roman"/>
          <w:sz w:val="24"/>
          <w:szCs w:val="24"/>
        </w:rPr>
        <w:t xml:space="preserve"> is addressed, and the important manner in which it continues to define Sebald within Anglophone literature. Translation has also played a role in the reception— and anticipated reception— of </w:t>
      </w:r>
      <w:r>
        <w:rPr>
          <w:rFonts w:ascii="Times New Roman" w:eastAsia="Times New Roman" w:hAnsi="Times New Roman" w:cs="Times New Roman"/>
          <w:i/>
          <w:sz w:val="24"/>
          <w:szCs w:val="24"/>
        </w:rPr>
        <w:t>Luftkrieg und Literatur</w:t>
      </w:r>
      <w:r>
        <w:rPr>
          <w:rFonts w:ascii="Times New Roman" w:eastAsia="Times New Roman" w:hAnsi="Times New Roman" w:cs="Times New Roman"/>
          <w:sz w:val="24"/>
          <w:szCs w:val="24"/>
        </w:rPr>
        <w:t xml:space="preserve"> (199</w:t>
      </w:r>
      <w:r>
        <w:rPr>
          <w:rFonts w:ascii="Times New Roman" w:eastAsia="Times New Roman" w:hAnsi="Times New Roman" w:cs="Times New Roman"/>
          <w:sz w:val="24"/>
          <w:szCs w:val="24"/>
        </w:rPr>
        <w:t xml:space="preserve">9). The analysis of </w:t>
      </w:r>
      <w:r>
        <w:rPr>
          <w:rFonts w:ascii="Times New Roman" w:eastAsia="Times New Roman" w:hAnsi="Times New Roman" w:cs="Times New Roman"/>
          <w:i/>
          <w:sz w:val="24"/>
          <w:szCs w:val="24"/>
        </w:rPr>
        <w:t>On the Natural History of Destruction</w:t>
      </w:r>
      <w:r>
        <w:rPr>
          <w:rFonts w:ascii="Times New Roman" w:eastAsia="Times New Roman" w:hAnsi="Times New Roman" w:cs="Times New Roman"/>
          <w:sz w:val="24"/>
          <w:szCs w:val="24"/>
        </w:rPr>
        <w:t xml:space="preserve"> (trans. Anthea Bell 2003), the English translation of the lectures, pays particular attention to Sebald’s “insider/outside” position, his rewriting of an original, and the discourse of fidelity that</w:t>
      </w:r>
      <w:r>
        <w:rPr>
          <w:rFonts w:ascii="Times New Roman" w:eastAsia="Times New Roman" w:hAnsi="Times New Roman" w:cs="Times New Roman"/>
          <w:sz w:val="24"/>
          <w:szCs w:val="24"/>
        </w:rPr>
        <w:t xml:space="preserve"> inevitably arises in relation to translation of this work. I argue that </w:t>
      </w:r>
      <w:r>
        <w:rPr>
          <w:rFonts w:ascii="Times New Roman" w:eastAsia="Times New Roman" w:hAnsi="Times New Roman" w:cs="Times New Roman"/>
          <w:i/>
          <w:sz w:val="24"/>
          <w:szCs w:val="24"/>
        </w:rPr>
        <w:t>On the Natural History of Destruction</w:t>
      </w:r>
      <w:r>
        <w:rPr>
          <w:rFonts w:ascii="Times New Roman" w:eastAsia="Times New Roman" w:hAnsi="Times New Roman" w:cs="Times New Roman"/>
          <w:sz w:val="24"/>
          <w:szCs w:val="24"/>
        </w:rPr>
        <w:t xml:space="preserve"> enacts Sebald’s project of literature as “restitution”, illustrating how the attempt to restore or compensate involves translation and raises com</w:t>
      </w:r>
      <w:r>
        <w:rPr>
          <w:rFonts w:ascii="Times New Roman" w:eastAsia="Times New Roman" w:hAnsi="Times New Roman" w:cs="Times New Roman"/>
          <w:sz w:val="24"/>
          <w:szCs w:val="24"/>
        </w:rPr>
        <w:t xml:space="preserve">plex ethical questions engrained in its nature. </w:t>
      </w:r>
    </w:p>
    <w:p w14:paraId="0000000F" w14:textId="77777777" w:rsidR="00D50E87" w:rsidRDefault="0076490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Each of the three authors considered demonstrates an interplay between their critical and fictional writing that broadens the understanding of their bodies of work. Moreover, as will be argued, the dual role (as writer and critic) taken by each is analogou</w:t>
      </w:r>
      <w:r>
        <w:rPr>
          <w:rFonts w:ascii="Times New Roman" w:eastAsia="Times New Roman" w:hAnsi="Times New Roman" w:cs="Times New Roman"/>
          <w:sz w:val="24"/>
          <w:szCs w:val="24"/>
        </w:rPr>
        <w:t>s to the dual position of the translator —as the creative fusion of reader and writer— foregrounding intertextual and metafictional elements in their works, which is one of the focal points of my analysis. Therefore, this research offers not only insight i</w:t>
      </w:r>
      <w:r>
        <w:rPr>
          <w:rFonts w:ascii="Times New Roman" w:eastAsia="Times New Roman" w:hAnsi="Times New Roman" w:cs="Times New Roman"/>
          <w:sz w:val="24"/>
          <w:szCs w:val="24"/>
        </w:rPr>
        <w:t>nto the works of Coetzee, Ozick and Sebald, but also a different framework from which to read their works, which accounts for their dual position. The study aims to demonstrate the range and uniqueness of this duality, an approach to language that may enta</w:t>
      </w:r>
      <w:r>
        <w:rPr>
          <w:rFonts w:ascii="Times New Roman" w:eastAsia="Times New Roman" w:hAnsi="Times New Roman" w:cs="Times New Roman"/>
          <w:sz w:val="24"/>
          <w:szCs w:val="24"/>
        </w:rPr>
        <w:t>il complicity, transgression or restitution. Despite the significant disparities that exist between the three writers considered, this thesis illuminates their important common ground: the underlying ethical notion invested in writing from a translator’s p</w:t>
      </w:r>
      <w:r>
        <w:rPr>
          <w:rFonts w:ascii="Times New Roman" w:eastAsia="Times New Roman" w:hAnsi="Times New Roman" w:cs="Times New Roman"/>
          <w:sz w:val="24"/>
          <w:szCs w:val="24"/>
        </w:rPr>
        <w:t xml:space="preserve">erspective.  </w:t>
      </w:r>
    </w:p>
    <w:p w14:paraId="00000010" w14:textId="77777777" w:rsidR="00D50E87" w:rsidRDefault="00D50E87">
      <w:pPr>
        <w:widowControl w:val="0"/>
        <w:spacing w:line="360" w:lineRule="auto"/>
        <w:rPr>
          <w:rFonts w:ascii="Times New Roman" w:eastAsia="Times New Roman" w:hAnsi="Times New Roman" w:cs="Times New Roman"/>
          <w:sz w:val="24"/>
          <w:szCs w:val="24"/>
          <w:highlight w:val="yellow"/>
        </w:rPr>
      </w:pPr>
    </w:p>
    <w:p w14:paraId="00000011" w14:textId="77777777" w:rsidR="00D50E87" w:rsidRDefault="00D50E87">
      <w:pPr>
        <w:widowControl w:val="0"/>
        <w:bidi/>
        <w:spacing w:line="360" w:lineRule="auto"/>
        <w:rPr>
          <w:rFonts w:ascii="Times New Roman" w:eastAsia="Times New Roman" w:hAnsi="Times New Roman" w:cs="Times New Roman"/>
          <w:sz w:val="24"/>
          <w:szCs w:val="24"/>
          <w:highlight w:val="yellow"/>
        </w:rPr>
      </w:pPr>
    </w:p>
    <w:p w14:paraId="00000012" w14:textId="77777777" w:rsidR="00D50E87" w:rsidRDefault="00D50E87">
      <w:pPr>
        <w:widowControl w:val="0"/>
        <w:spacing w:line="360" w:lineRule="auto"/>
        <w:rPr>
          <w:rFonts w:ascii="Times New Roman" w:eastAsia="Times New Roman" w:hAnsi="Times New Roman" w:cs="Times New Roman"/>
          <w:sz w:val="24"/>
          <w:szCs w:val="24"/>
          <w:highlight w:val="yellow"/>
        </w:rPr>
      </w:pPr>
    </w:p>
    <w:p w14:paraId="00000013" w14:textId="77777777" w:rsidR="00D50E87" w:rsidRDefault="00D50E87">
      <w:pPr>
        <w:widowControl w:val="0"/>
        <w:spacing w:line="360" w:lineRule="auto"/>
        <w:rPr>
          <w:rFonts w:ascii="Times New Roman" w:eastAsia="Times New Roman" w:hAnsi="Times New Roman" w:cs="Times New Roman"/>
          <w:sz w:val="24"/>
          <w:szCs w:val="24"/>
          <w:highlight w:val="yellow"/>
        </w:rPr>
      </w:pPr>
    </w:p>
    <w:p w14:paraId="00000014" w14:textId="77777777" w:rsidR="00D50E87" w:rsidRDefault="00D50E87">
      <w:pPr>
        <w:widowControl w:val="0"/>
        <w:spacing w:line="360" w:lineRule="auto"/>
        <w:rPr>
          <w:rFonts w:ascii="Times New Roman" w:eastAsia="Times New Roman" w:hAnsi="Times New Roman" w:cs="Times New Roman"/>
          <w:sz w:val="24"/>
          <w:szCs w:val="24"/>
          <w:highlight w:val="yellow"/>
        </w:rPr>
      </w:pPr>
    </w:p>
    <w:p w14:paraId="00000015" w14:textId="77777777" w:rsidR="00D50E87" w:rsidRDefault="00D50E87">
      <w:pPr>
        <w:widowControl w:val="0"/>
        <w:spacing w:line="360" w:lineRule="auto"/>
        <w:rPr>
          <w:rFonts w:ascii="Times New Roman" w:eastAsia="Times New Roman" w:hAnsi="Times New Roman" w:cs="Times New Roman"/>
          <w:sz w:val="24"/>
          <w:szCs w:val="24"/>
          <w:highlight w:val="yellow"/>
        </w:rPr>
      </w:pPr>
    </w:p>
    <w:p w14:paraId="00000016" w14:textId="77777777" w:rsidR="00D50E87" w:rsidRDefault="00D50E87">
      <w:pPr>
        <w:widowControl w:val="0"/>
        <w:spacing w:line="360" w:lineRule="auto"/>
        <w:rPr>
          <w:rFonts w:ascii="Times New Roman" w:eastAsia="Times New Roman" w:hAnsi="Times New Roman" w:cs="Times New Roman"/>
          <w:sz w:val="24"/>
          <w:szCs w:val="24"/>
          <w:highlight w:val="yellow"/>
        </w:rPr>
      </w:pPr>
    </w:p>
    <w:p w14:paraId="00000017" w14:textId="77777777" w:rsidR="00D50E87" w:rsidRDefault="00D50E87"/>
    <w:sectPr w:rsidR="00D50E8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E87"/>
    <w:rsid w:val="00764907"/>
    <w:rsid w:val="00D50E8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379804-763B-49E6-923F-D1AC06D7B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1593</Words>
  <Characters>9083</Characters>
  <Application>Microsoft Office Word</Application>
  <DocSecurity>4</DocSecurity>
  <Lines>75</Lines>
  <Paragraphs>21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Edna Dar</dc:creator>
  <cp:lastModifiedBy>Edna Dar</cp:lastModifiedBy>
  <cp:revision>2</cp:revision>
  <dcterms:created xsi:type="dcterms:W3CDTF">2021-04-06T11:36:00Z</dcterms:created>
  <dcterms:modified xsi:type="dcterms:W3CDTF">2021-04-06T11:36:00Z</dcterms:modified>
</cp:coreProperties>
</file>