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90D0D" w14:textId="77777777" w:rsidR="00562410" w:rsidRPr="00F422A6" w:rsidRDefault="00562410" w:rsidP="00F422A6">
      <w:pPr>
        <w:pStyle w:val="1"/>
        <w:bidi w:val="0"/>
        <w:rPr>
          <w:rtl/>
        </w:rPr>
      </w:pPr>
      <w:r>
        <w:t>Abstract</w:t>
      </w:r>
    </w:p>
    <w:p w14:paraId="1F26AD9D" w14:textId="5496FA3F" w:rsidR="00482548" w:rsidRDefault="00482548" w:rsidP="005B48E4">
      <w:pPr>
        <w:bidi w:val="0"/>
        <w:rPr>
          <w:rtl/>
        </w:rPr>
      </w:pPr>
      <w:r>
        <w:t>This work shines a light on a burgeoning practice undergoing transformation in Haredi society, of Haredi women who study the Talmud.</w:t>
      </w:r>
      <w:r>
        <w:rPr>
          <w:rStyle w:val="a5"/>
        </w:rPr>
        <w:footnoteReference w:id="1"/>
      </w:r>
      <w:r>
        <w:t xml:space="preserve"> Its very existence represents a historic breakthrough for Haredi women, and is positioned between cultural structures and agency of women, between the axes of the religion-gender-state triad, and is affected by the interrelationships among them. Understanding this practice has added a new hue to the shades of knowledge on women who drive processes of change, especially those women who take an active role inside closed</w:t>
      </w:r>
      <w:r w:rsidR="00DC1580">
        <w:t>,</w:t>
      </w:r>
      <w:r>
        <w:t xml:space="preserve"> religious frameworks. The work highlights another facet </w:t>
      </w:r>
      <w:r w:rsidR="00DC1580">
        <w:t>of</w:t>
      </w:r>
      <w:r>
        <w:t xml:space="preserve"> gendered power relations based on knowledge and on its obstruction.</w:t>
      </w:r>
    </w:p>
    <w:p w14:paraId="29DF21E6" w14:textId="753E83BF" w:rsidR="00342342" w:rsidRDefault="00157397" w:rsidP="005B48E4">
      <w:pPr>
        <w:bidi w:val="0"/>
        <w:rPr>
          <w:rtl/>
        </w:rPr>
      </w:pPr>
      <w:r>
        <w:t xml:space="preserve">The social-gender barriers circumscribing the Babylonian Talmud form a “transparent grating” that this study has rendered in color, simultaneously illuminating the elements that contribute to their upkeep. The core of this work calls attention to the interrelationship between the state and its contribution to the upkeep of the gendered arrangements in Haredi society, in parallel with monitoring and analyzing the subversive yet gentle activity that Haredi women perform through the transparent </w:t>
      </w:r>
      <w:r w:rsidR="008F518D">
        <w:t>bars</w:t>
      </w:r>
      <w:r>
        <w:t>, while preserving their Haredi identity.</w:t>
      </w:r>
    </w:p>
    <w:p w14:paraId="7024416E" w14:textId="680890A5" w:rsidR="0045597B" w:rsidRDefault="00AA7A92" w:rsidP="005B48E4">
      <w:pPr>
        <w:bidi w:val="0"/>
        <w:rPr>
          <w:rFonts w:eastAsia="Calibri"/>
          <w:rtl/>
        </w:rPr>
      </w:pPr>
      <w:r>
        <w:t>On the way</w:t>
      </w:r>
      <w:r w:rsidR="00F25F66">
        <w:t xml:space="preserve"> to such knowledge, these </w:t>
      </w:r>
      <w:r w:rsidR="008F518D">
        <w:t>bars</w:t>
      </w:r>
      <w:r w:rsidR="00F25F66">
        <w:t xml:space="preserve"> are transparent; an outside observer sees Haredi women today in their prime – professionally, socially and academically</w:t>
      </w:r>
      <w:r w:rsidR="00DC1580">
        <w:t>.</w:t>
      </w:r>
      <w:r w:rsidR="00F25F66">
        <w:t xml:space="preserve"> nonetheless, above them is a rigid cement ceiling preventing them from taking part in decision-making circles. Haredi women are excluded from Talmud study, the knowledge in which the central ethos comprising the core of their society is grounded</w:t>
      </w:r>
      <w:r w:rsidR="00DC1580">
        <w:t xml:space="preserve"> – the</w:t>
      </w:r>
      <w:r w:rsidR="00F25F66">
        <w:t xml:space="preserve"> “Society of Learners” (Friedman, 1991).</w:t>
      </w:r>
      <w:r w:rsidR="00903C38">
        <w:t xml:space="preserve"> </w:t>
      </w:r>
      <w:r w:rsidR="00F25F66">
        <w:t>Haredi women are also excluded from the political arena; they are neither a part of the Haredi political parties nor represented in municipal or national elections. The field of Talmud study and the political field</w:t>
      </w:r>
      <w:r w:rsidR="00F25F66">
        <w:rPr>
          <w:rStyle w:val="a5"/>
          <w:rFonts w:eastAsia="Calibri"/>
        </w:rPr>
        <w:footnoteReference w:id="2"/>
      </w:r>
      <w:r w:rsidR="00F25F66">
        <w:t xml:space="preserve"> would appear to be two different life domains; there is, however, a theoretical link between the two fields of study, which describe the struggle of Haredi women against the fortified barriers erected by men in modern Haredi society, a society which has been formed, consolidated and acts under the auspices and financial backing of the state.</w:t>
      </w:r>
      <w:r w:rsidR="00903C38">
        <w:t xml:space="preserve"> </w:t>
      </w:r>
      <w:r w:rsidR="00F25F66">
        <w:t>(Herzog, 2014; Sorotzkin, 2007, 2022).</w:t>
      </w:r>
    </w:p>
    <w:p w14:paraId="39EF00BD" w14:textId="64696608" w:rsidR="00435092" w:rsidRPr="004C6D4D" w:rsidRDefault="004C6D4D" w:rsidP="00224053">
      <w:pPr>
        <w:bidi w:val="0"/>
        <w:rPr>
          <w:rtl/>
        </w:rPr>
      </w:pPr>
      <w:r>
        <w:t xml:space="preserve">The state has played a central role in preserving Haredi society in its current format. As such, ignoring the circumstances of Haredi women, leaving them to contend with their fate and lack of support in their struggle for change, is also to be seen as a stand taken </w:t>
      </w:r>
      <w:r>
        <w:lastRenderedPageBreak/>
        <w:t xml:space="preserve">by the state. The state must and can act on several fronts to aid Haredi women so that they could made advances in the arena where they are struggling against the exclusion of women from studying the Talmud. “Through </w:t>
      </w:r>
      <w:r w:rsidR="008F518D">
        <w:t>Transparent B</w:t>
      </w:r>
      <w:r>
        <w:t>ars” is not just a story or the documentation of a practice, or expression of resentment and criticism against the exclusion of women from spheres of influence</w:t>
      </w:r>
      <w:r w:rsidR="0089624B">
        <w:t xml:space="preserve"> –</w:t>
      </w:r>
      <w:r>
        <w:t xml:space="preserve"> it is an ethical claim calling out to the public and to the state for testimony and action.</w:t>
      </w:r>
    </w:p>
    <w:p w14:paraId="20FC1C2B" w14:textId="44F0E0C2" w:rsidR="00A72D78" w:rsidRDefault="00563160" w:rsidP="00A3661D">
      <w:pPr>
        <w:bidi w:val="0"/>
        <w:rPr>
          <w:rtl/>
        </w:rPr>
      </w:pPr>
      <w:r>
        <w:t xml:space="preserve">Like every other cultural pattern, this fascinating manifestation of "Haredi feminism" – Haredi women who study the Talmud – has not developed in a vacuum. Its theoretical underpinning is rooted in several fields of knowledge spanned by the feminist prism – feminism as a political idea (Herzog, 2009); the state as a political player (Herzog, 2014a); the gnarled interrelationship between Haredism and modernity (Sorotzkin, 2022); knowledge, power and feminist thinking (Choo &amp; Ferree, 2010); and Haredi feminism as intersectional feminism (Crenshaw, 1991). In practice, these fields intersect and influence one another, with a negotiation taking place among them in the struggle over preservation and change. This study builds a new layer of research that meshes with the work of Herzog (2014a) whose focal point is the approach that religion, state and gender, alongside additional social categories, are neither universalist nor essentialist entities, but </w:t>
      </w:r>
      <w:r w:rsidR="0089624B">
        <w:t xml:space="preserve">are </w:t>
      </w:r>
      <w:r>
        <w:t xml:space="preserve">rather cognitive dimensions of social life, connected to time, space and historical conditions. This position aligns with a broader tradition by which binary categories (individual-public, man-woman, modern-traditional, sacred-profane, religious-secular, religion-state, et al.) are not mutually exclusive antinomy, but rather discursive and non-discursive practices that are rooted in modern thinking, and whose intricate relationships are to be analyzed from a historical viewpoint. The theoretical framing does not </w:t>
      </w:r>
      <w:r w:rsidR="008A3E4C">
        <w:t>clash with</w:t>
      </w:r>
      <w:r>
        <w:t xml:space="preserve"> the findings of earlier studies on Haredism, but positions Haredism and manifestations found in it, including Haredi feminism, and in particular Haredi women who study the Talmud, as manifestations that burgeon and metamorphose out of the struggle of different groups in defining the </w:t>
      </w:r>
      <w:r w:rsidR="008A3E4C">
        <w:t>situation</w:t>
      </w:r>
      <w:r>
        <w:t>.</w:t>
      </w:r>
      <w:r w:rsidR="00A3661D" w:rsidRPr="00A3661D">
        <w:rPr>
          <w:rFonts w:ascii="Arial" w:hAnsi="Arial" w:cs="Arial"/>
          <w:color w:val="222222"/>
          <w:shd w:val="clear" w:color="auto" w:fill="FFFFFF"/>
        </w:rPr>
        <w:t xml:space="preserve"> </w:t>
      </w:r>
      <w:r w:rsidR="00A3661D" w:rsidRPr="00A3661D">
        <w:t>Manifestations of secularization and religionization, as well as those of exclusion and inclusion, are just two pairs of phenomena that have been growing in parallel</w:t>
      </w:r>
      <w:r>
        <w:t>, alongside one another, battling each other, yet also inter</w:t>
      </w:r>
      <w:r w:rsidR="00147606">
        <w:t>weaving</w:t>
      </w:r>
      <w:r>
        <w:t xml:space="preserve"> and forming a plethora of new social orders. </w:t>
      </w:r>
    </w:p>
    <w:p w14:paraId="02D1585E" w14:textId="74211A19" w:rsidR="00D66963" w:rsidRDefault="006D137C" w:rsidP="006E4B16">
      <w:pPr>
        <w:bidi w:val="0"/>
        <w:rPr>
          <w:rtl/>
        </w:rPr>
      </w:pPr>
      <w:r>
        <w:t xml:space="preserve">After presenting the point of departure’s prism for the feminist analysis, and the </w:t>
      </w:r>
      <w:r w:rsidR="00147606">
        <w:t>prism</w:t>
      </w:r>
      <w:r w:rsidR="00903C38">
        <w:t xml:space="preserve"> </w:t>
      </w:r>
      <w:r w:rsidR="00147606">
        <w:t xml:space="preserve">of the </w:t>
      </w:r>
      <w:r>
        <w:t>background analysis in which the practice has been growing, and since society and culture are the arena of the activity itself – they are the heart of the story – I added a theoretical foundation from these fields, using them as an anchor for analyzing the practice.</w:t>
      </w:r>
      <w:r>
        <w:rPr>
          <w:b/>
          <w:bCs/>
        </w:rPr>
        <w:t xml:space="preserve"> </w:t>
      </w:r>
      <w:r>
        <w:t>The study disentangled the gnarled assumptions that reflect and reproduce the gender power relations, exposed those who monopolize culture, and asked how women attempt to challenge the access rights to this cultural capital, though not necessarily to change it. In this analysis I also adopted Bourdieu’s (2005) approach, w</w:t>
      </w:r>
      <w:bookmarkStart w:id="0" w:name="_GoBack"/>
      <w:bookmarkEnd w:id="0"/>
      <w:r>
        <w:t xml:space="preserve">hereby the social </w:t>
      </w:r>
      <w:r>
        <w:lastRenderedPageBreak/>
        <w:t xml:space="preserve">arena is composed of different fields, each of which is a structured social space and an arena of power operating under a system of its own specific rules, alongside a system of rules shared by all the fields. </w:t>
      </w:r>
      <w:r w:rsidR="00147606" w:rsidRPr="00147606">
        <w:t>According to Bourdieu, status is differentiated is not only by materialistic measure but also by symbolic capital.</w:t>
      </w:r>
      <w:r>
        <w:t xml:space="preserve"> Although the different types of capital – classic economic capital, cultural capital and social capital – may be </w:t>
      </w:r>
      <w:r w:rsidR="00147606">
        <w:t>converted</w:t>
      </w:r>
      <w:r>
        <w:t xml:space="preserve"> from one form to another, each field has </w:t>
      </w:r>
      <w:r w:rsidR="006E4B16">
        <w:t>a</w:t>
      </w:r>
      <w:r>
        <w:t xml:space="preserve"> </w:t>
      </w:r>
      <w:r w:rsidR="006E4B16">
        <w:t xml:space="preserve">kind of </w:t>
      </w:r>
      <w:r>
        <w:t xml:space="preserve">capital particular to it that serves as the basis for the power relations that characterize it. Another Bourdieusian component employed by the analysis is the hidden habitus (Algazi, 2002; Bourdieu, 2005), embodied by objective means and choices experienced as personal and independent, </w:t>
      </w:r>
      <w:r w:rsidR="006E4B16">
        <w:t>but</w:t>
      </w:r>
      <w:r>
        <w:t xml:space="preserve"> in fact are clear products of the distribution of power in society. As such, since habitus is the conversion of social position to mod</w:t>
      </w:r>
      <w:r w:rsidR="006E4B16">
        <w:t>us</w:t>
      </w:r>
      <w:r>
        <w:t xml:space="preserve"> operandi, this study examined the </w:t>
      </w:r>
      <w:r w:rsidR="006E4B16">
        <w:t>method of</w:t>
      </w:r>
      <w:r>
        <w:t xml:space="preserve"> oper</w:t>
      </w:r>
      <w:r w:rsidR="006E4B16">
        <w:t>ation</w:t>
      </w:r>
      <w:r>
        <w:t xml:space="preserve"> particular to Haredi women when they study the Talmud, and the ways in which they try to earn legitimacy in the arena of learning, using their particular habitus.</w:t>
      </w:r>
    </w:p>
    <w:p w14:paraId="3437D136" w14:textId="06A3D8F2" w:rsidR="00D66963" w:rsidRPr="00EF4F70" w:rsidRDefault="00EC2E4C" w:rsidP="009C68A9">
      <w:pPr>
        <w:bidi w:val="0"/>
        <w:rPr>
          <w:rtl/>
        </w:rPr>
      </w:pPr>
      <w:r>
        <w:t>The study also presents the intersection</w:t>
      </w:r>
      <w:r w:rsidR="006E4B16">
        <w:t>s</w:t>
      </w:r>
      <w:r>
        <w:t xml:space="preserve"> of motivations that the Haredi women suggest for their Talmud learning, where the variegated meeting point among the junctions establishes something new, greater than the sum of its parts. The multitude of meanings given to their study is also consistent with Swidler’s (1986) toolkit theory. Among Haredi women one can also see how Haredi culture shapes their image but does not rigidify them; they use a variety of tools from the cultural toolkit as they remain in continuous motion. The tools they draw from the toolkit allow them to grant meaning to their world and their achievements; the definition, like the activities, differ, metamorphose and are interpreted anew time and again, through their dynamic process.</w:t>
      </w:r>
    </w:p>
    <w:p w14:paraId="5C61CDE6" w14:textId="6CE45FE7" w:rsidR="00A72D78" w:rsidRPr="00EF4F70" w:rsidRDefault="00EC2E4C" w:rsidP="007E4721">
      <w:pPr>
        <w:bidi w:val="0"/>
        <w:rPr>
          <w:rFonts w:eastAsia="Calibri"/>
          <w:sz w:val="32"/>
          <w:szCs w:val="32"/>
          <w:rtl/>
        </w:rPr>
      </w:pPr>
      <w:r>
        <w:t xml:space="preserve">The theoretical contours represent several bodies of knowledge each of which supported </w:t>
      </w:r>
      <w:r w:rsidR="00AA7B58">
        <w:t xml:space="preserve">another </w:t>
      </w:r>
      <w:r>
        <w:t xml:space="preserve">component of the study. Different approaches are employed rather than a single theory, within which and across which lie clashes and differing viewpoints. I filtered out only a portion of these, and made use of those that aided me in examining the junction between cultural structures and agency of women, as well as those that assisted me in analyzing the women’s discourse; these women negotiate and at times even innovate, but may sometimes also seek to remain subordinate to the organizing forces in the field. </w:t>
      </w:r>
    </w:p>
    <w:p w14:paraId="2F24D3C3" w14:textId="6E8BC84C" w:rsidR="00435092" w:rsidRDefault="00435092" w:rsidP="009C68A9">
      <w:pPr>
        <w:bidi w:val="0"/>
        <w:rPr>
          <w:rtl/>
        </w:rPr>
      </w:pPr>
      <w:r>
        <w:t>To borrow a metaphor proposed by Latour (2005) and adopted by Herzog (2014a), I also seek to apply Ariadne’s thread in this study; it tracks the labyrinthian fabric of the nets and conditions that form the multi-threaded weave in the realm of Haredi women who study the Talmud – where that same Ariadne’s thread is the one that also allows and demarcates the exit from the labyrinth.</w:t>
      </w:r>
      <w:r w:rsidR="00903C38">
        <w:t xml:space="preserve"> </w:t>
      </w:r>
      <w:r>
        <w:t xml:space="preserve">I add my own metaphor to this process. This study follows Haredi women who study the Talmud, a corpus composed of tractates – </w:t>
      </w:r>
      <w:r>
        <w:rPr>
          <w:i/>
          <w:iCs/>
        </w:rPr>
        <w:t>masechtot</w:t>
      </w:r>
      <w:r w:rsidR="00AA7B58">
        <w:t>, in Hebrew –</w:t>
      </w:r>
      <w:r>
        <w:t xml:space="preserve"> and observes Haredi women who study a tractate. The word </w:t>
      </w:r>
      <w:r>
        <w:rPr>
          <w:i/>
          <w:iCs/>
        </w:rPr>
        <w:t>masechet</w:t>
      </w:r>
      <w:r>
        <w:t xml:space="preserve"> refers not only </w:t>
      </w:r>
      <w:r w:rsidR="00AA7B58">
        <w:t xml:space="preserve">to </w:t>
      </w:r>
      <w:r>
        <w:t xml:space="preserve">a Talmudic unit addressing a particular topic, it </w:t>
      </w:r>
      <w:r w:rsidR="00AA7B58">
        <w:t xml:space="preserve">also </w:t>
      </w:r>
      <w:r>
        <w:t xml:space="preserve">refers to the warp yarn on the loom from which fabric is woven. That fabric is this study. </w:t>
      </w:r>
    </w:p>
    <w:p w14:paraId="32DCA633" w14:textId="1211FDDF" w:rsidR="00073C75" w:rsidRDefault="00073C75" w:rsidP="001B0EA9">
      <w:pPr>
        <w:bidi w:val="0"/>
        <w:rPr>
          <w:rtl/>
        </w:rPr>
      </w:pPr>
      <w:r>
        <w:lastRenderedPageBreak/>
        <w:t>The biblical precept of Torah study, in particular Talmud study, is the core of Jewish being, the greatest Jewish ethos throughout history (Lamm, 1972; Sh</w:t>
      </w:r>
      <w:r w:rsidR="00BE50A1">
        <w:t>a</w:t>
      </w:r>
      <w:r>
        <w:t>lif, 1995; Hoshen, 2009). In her book “Since Torah became Talmud Torah”, Kehat (2016) follows the changes transpiring in relation to Talmud study, the renewed definition of learning for the sake of learning,</w:t>
      </w:r>
      <w:r>
        <w:rPr>
          <w:vertAlign w:val="superscript"/>
        </w:rPr>
        <w:footnoteReference w:id="3"/>
      </w:r>
      <w:r>
        <w:t xml:space="preserve"> that is, the act of study itself and not the instrumental terminology of the learned content, and its role in stemming the tide of secular influence on the Jewish people. In this study, the concepts of “Torah study” and “Talmud study” are treated one and the same, because that is how the interviewees and the women in the field of study relate to them. </w:t>
      </w:r>
    </w:p>
    <w:p w14:paraId="55E0BB82" w14:textId="77777777" w:rsidR="00AC0469" w:rsidRPr="00A434A3" w:rsidRDefault="00073C75" w:rsidP="00A434A3">
      <w:pPr>
        <w:bidi w:val="0"/>
        <w:rPr>
          <w:rtl/>
        </w:rPr>
      </w:pPr>
      <w:r>
        <w:t>Torah scholars were nurtured by the Jewish people throughout the ages, through the institution of the Beit Midrash, the study hall. The centrality of Talmud study structured the society as one based on knowledge: the learners, they are the keepers of knowledge and considered the elite (Heilman, 1983) and hold the social status of decisors and leaders (Breuer, 2003; Gordin, 2005). Torah knowledge is transformed into a cultural resource and cultural capital (Danzger, 2001; Hartman, 2008; Zolty, 1993) since throughout the ages, the study of Torah has been the bedrock for the study of Jewish law, which prescribes the Jewish way of life.</w:t>
      </w:r>
    </w:p>
    <w:p w14:paraId="298640EC" w14:textId="77777777" w:rsidR="001B1E2E" w:rsidRPr="001B1E2E" w:rsidRDefault="001B1E2E" w:rsidP="00AE4B24">
      <w:pPr>
        <w:bidi w:val="0"/>
        <w:rPr>
          <w:rtl/>
        </w:rPr>
      </w:pPr>
      <w:r>
        <w:t xml:space="preserve">There were women in different communities, through the ages, who studied Torah and Jewish law and were renowned in their erudition in the intricacies of the Talmud; only the 20th century, however, saw a slow and steady formation of a column of women who study the Talmud. Educational frameworks for Orthodox Jewish women who wished to study the Talmud became available in the United States in the early 1970s. The motives were varied; some wished to learn for learning’s sake, others aspired to learn so that they could teach other young women, providing them with an intellectual infrastructure for ruling on issues of Jewish law. Several study halls were established, in which serious, methodical, in-depth learning for women took place. Some of these women later immigrated to Israel; in this way a foundation for Talmud study for religious women began to develop in Israel as well (Puterkovsky, 2014; Artzi Sror, 2018). </w:t>
      </w:r>
    </w:p>
    <w:p w14:paraId="1E755748" w14:textId="77777777" w:rsidR="001945C4" w:rsidRDefault="00A72D78" w:rsidP="001A0007">
      <w:pPr>
        <w:bidi w:val="0"/>
        <w:rPr>
          <w:rtl/>
        </w:rPr>
      </w:pPr>
      <w:r>
        <w:t xml:space="preserve">Even after </w:t>
      </w:r>
      <w:r>
        <w:rPr>
          <w:u w:val="single"/>
        </w:rPr>
        <w:t>religious</w:t>
      </w:r>
      <w:r>
        <w:t xml:space="preserve"> women were able to break through the barriers and began to be learners and teachers, Haredi women remained far from that world of Talmud knowledge</w:t>
      </w:r>
      <w:r>
        <w:rPr>
          <w:rStyle w:val="a5"/>
        </w:rPr>
        <w:footnoteReference w:id="4"/>
      </w:r>
      <w:r>
        <w:t xml:space="preserve">. For Haredi women, this is a particularly outrageous form of exclusion, as Haredi society is defined as the “Society of Learners” (Friedman, 1991); closing the </w:t>
      </w:r>
      <w:r>
        <w:lastRenderedPageBreak/>
        <w:t>doors of Torah study to them excludes them from the backbone of their community. Haredi society at large, and its essence as a “Society of Learners”, is supported and funded by the state; this makes the state a partner to these gendered attitudes toward Haredi women, and to their exclusion. The very existence of the “Society of Learners” has a clearly gendered prism, first formulated by El Or in her research and in her book “Educated and ignorant: Ultraorthodox Jewish women and their world” (1992). Ever since. it has been a seminal component in the agenda of gender studies on Haredi society in Israel. El Or pointed out the constitutive role of women in the upkeep of the society of learners, that hinges not only upon recruiting the men to learn, and not only state and political support for such an arrangement, but also the extent of support provided by the women as breadwinners.</w:t>
      </w:r>
    </w:p>
    <w:p w14:paraId="16A22BD1" w14:textId="77777777" w:rsidR="00271703" w:rsidRDefault="001945C4" w:rsidP="00FD772C">
      <w:pPr>
        <w:bidi w:val="0"/>
        <w:rPr>
          <w:rtl/>
        </w:rPr>
      </w:pPr>
      <w:r>
        <w:t>The roots of the current journey in the Haredi women’s ‘spring’ have been studied in recent years and have been documented in detail. What ensued together with this ‘spring’ were practices, never before seen, of erasure and exclusion, of religious radicalization and policing of women’s modesty. Sociological literature has shown that women are perceived as demarcating collective boundaries, and use them to preserve and fortify these boundaries in ordinary times, and especially at times that those boundaries are changed or challenged (Berkowitz, 1999; Herzog, 1998). When the Haredi establishment cries out and seeks to protect those barriers that are cracking, it does so primarily by turning to the women; despite the power the Haredi woman has amassed, she may still be policed, and she can still be told what is right for her (Rieder-Indursky, 2018).</w:t>
      </w:r>
    </w:p>
    <w:p w14:paraId="6677AF6A" w14:textId="489D96D3" w:rsidR="001945C4" w:rsidRPr="00EA4E53" w:rsidRDefault="001945C4" w:rsidP="00271703">
      <w:pPr>
        <w:bidi w:val="0"/>
        <w:rPr>
          <w:rtl/>
        </w:rPr>
      </w:pPr>
      <w:r>
        <w:t>Ironically, it is with the rising standard in general education of Haredi women and their empowerment in the economic and commercial sphere, that different manifestations of these practices are being seen more and more. The policing described in the studies could have been a means of preserving modesty and a life of poverty (Stadler, 2003); however,</w:t>
      </w:r>
      <w:r w:rsidR="00903C38">
        <w:t xml:space="preserve"> </w:t>
      </w:r>
      <w:r>
        <w:t>the focus of this study is on middle-class Haredi women, whose independence has actually been the driver for the increase and radicalization of their policing.</w:t>
      </w:r>
    </w:p>
    <w:p w14:paraId="18916215" w14:textId="6ABFCF92" w:rsidR="00645D1D" w:rsidRDefault="0037304E" w:rsidP="00645D1D">
      <w:pPr>
        <w:bidi w:val="0"/>
        <w:rPr>
          <w:rtl/>
        </w:rPr>
      </w:pPr>
      <w:r>
        <w:t>Haredi society is defined as a society of learners, but the women who sustain it are thoroughly excluded from the very life force central to that society – studying the Talmud.</w:t>
      </w:r>
      <w:r>
        <w:rPr>
          <w:i/>
          <w:iCs/>
        </w:rPr>
        <w:t xml:space="preserve"> </w:t>
      </w:r>
      <w:r>
        <w:t>Talmud study is one of the central tools</w:t>
      </w:r>
      <w:r>
        <w:rPr>
          <w:rStyle w:val="a5"/>
        </w:rPr>
        <w:footnoteReference w:id="5"/>
      </w:r>
      <w:r>
        <w:t xml:space="preserve"> used for exclusion, and the very act of Talmud study by Haredi women challenges the core of the cultural apparatus that excludes them from it.</w:t>
      </w:r>
      <w:r>
        <w:rPr>
          <w:i/>
          <w:iCs/>
        </w:rPr>
        <w:t xml:space="preserve"> </w:t>
      </w:r>
      <w:r>
        <w:t xml:space="preserve">Women in the field of study </w:t>
      </w:r>
      <w:r w:rsidR="00970338">
        <w:t>are seeking</w:t>
      </w:r>
      <w:r>
        <w:t xml:space="preserve"> to take part in a world of knowledge that is the very definition of what Haredism is, and which dictates their lives </w:t>
      </w:r>
      <w:r>
        <w:lastRenderedPageBreak/>
        <w:t xml:space="preserve">to a large extent; they may even </w:t>
      </w:r>
      <w:r w:rsidR="00970338">
        <w:t xml:space="preserve">wish to be </w:t>
      </w:r>
      <w:r>
        <w:t>challeng</w:t>
      </w:r>
      <w:r w:rsidR="00970338">
        <w:t>ing</w:t>
      </w:r>
      <w:r>
        <w:t xml:space="preserve"> their exclusion from the prime value of Talmud study. </w:t>
      </w:r>
    </w:p>
    <w:p w14:paraId="1C6C7AAD" w14:textId="0C8B3EC5" w:rsidR="009E1C42" w:rsidRDefault="009E1C42" w:rsidP="00645D1D">
      <w:pPr>
        <w:bidi w:val="0"/>
        <w:rPr>
          <w:rtl/>
        </w:rPr>
      </w:pPr>
      <w:r>
        <w:t xml:space="preserve">The study explores the cultural, historical and sociological contexts and the personal experience of the women learners. Haredi women, by entering an arena that had been inaccessible to them until recently and paving a new route for participation, summon up new coping mechanisms that warrant observation. The question of interest to me in this study is the question of “how” – how do they combat exclusion? How do these women use the feminist toolkit, and the term feminism in particular? How do they use their own toolkit and select strategies </w:t>
      </w:r>
      <w:r w:rsidR="00970338">
        <w:t xml:space="preserve">from it, </w:t>
      </w:r>
      <w:r>
        <w:t>in their battle against exclusion and in their actions of social change? How did the different processes that they brought with them for their subversive action influence them, and how did they</w:t>
      </w:r>
      <w:r w:rsidR="0047022B">
        <w:t>,</w:t>
      </w:r>
      <w:r>
        <w:t xml:space="preserve"> all the while</w:t>
      </w:r>
      <w:r w:rsidR="0047022B">
        <w:t>,</w:t>
      </w:r>
      <w:r>
        <w:t xml:space="preserve"> preserve their sense of belonging to the community? I chose these because the "how" illuminates the dominant arrangements within Haredi society itself and "how" exclusion is structured. </w:t>
      </w:r>
    </w:p>
    <w:p w14:paraId="08AAF76C" w14:textId="77777777" w:rsidR="009E1C42" w:rsidRDefault="009E1C42" w:rsidP="00224053">
      <w:pPr>
        <w:bidi w:val="0"/>
        <w:rPr>
          <w:rtl/>
        </w:rPr>
      </w:pPr>
      <w:r>
        <w:t xml:space="preserve">The research question is thus, in what manner do Haredi women experience and conceptualize their study of the Talmud and in what way do they experience and conceptualize Haredi feminism? </w:t>
      </w:r>
    </w:p>
    <w:p w14:paraId="21E2A308" w14:textId="1D140699" w:rsidR="009E1C42" w:rsidRPr="009E1C42" w:rsidRDefault="003B4030" w:rsidP="003B4030">
      <w:pPr>
        <w:bidi w:val="0"/>
      </w:pPr>
      <w:r>
        <w:t xml:space="preserve">The study documents a new activist feminist field of activity of Haredi women – the field of Talmud study – and also documents my becoming part of it, in particular through the “Torah” group. The study seeks to uncover the activities they carry out within Haredi society, while directing a spotlight on the state’s role in creating </w:t>
      </w:r>
      <w:r w:rsidR="0024061B">
        <w:t>a</w:t>
      </w:r>
      <w:r>
        <w:t xml:space="preserve"> distortion </w:t>
      </w:r>
      <w:r w:rsidR="0024061B">
        <w:t>in the form of</w:t>
      </w:r>
      <w:r>
        <w:t xml:space="preserve"> exclusion.</w:t>
      </w:r>
    </w:p>
    <w:p w14:paraId="0E95379C" w14:textId="77777777" w:rsidR="00A24041" w:rsidRPr="005D3501" w:rsidRDefault="009E1C42" w:rsidP="00FD772C">
      <w:pPr>
        <w:bidi w:val="0"/>
        <w:rPr>
          <w:rFonts w:ascii="Times New Roman" w:eastAsia="Tahoma" w:hAnsi="Times New Roman"/>
          <w:kern w:val="1"/>
          <w:rtl/>
        </w:rPr>
      </w:pPr>
      <w:r>
        <w:t xml:space="preserve">The study employs a combination of methodologies: some are prevalent in qualitative research – 33 in-depth interviews with Haredi women, active in the field of Talmud study by Haredi women, and participant observation with myself in the role of researcher, who studies the Talmud with a group of trailblazing women – enhanced by means of auto-ethnography, essay and memoir. Since the field of study has also been flourishing in social networks in open and closed Facebook groups and on WhatsApp, an additional method employed is virtual ethnography for the study of online communities and cultures, known as “netnography” (Kozinets, 2002). </w:t>
      </w:r>
    </w:p>
    <w:p w14:paraId="0D831D03" w14:textId="77777777" w:rsidR="00717337" w:rsidRDefault="00717337" w:rsidP="00A24041">
      <w:pPr>
        <w:bidi w:val="0"/>
        <w:rPr>
          <w:rtl/>
        </w:rPr>
      </w:pPr>
      <w:r>
        <w:t>The range of tools employed and the mix among them allowed marking and delineating moments of daily exclusion, to obtain a rich description of exclusionary experiences from a subjective perspective, including my own experiences as a subject and as part of the field, and to examine the broad social meanings they embody.</w:t>
      </w:r>
    </w:p>
    <w:p w14:paraId="79FCBE8C" w14:textId="77777777" w:rsidR="004D1E45" w:rsidRDefault="004D1E45" w:rsidP="003B4030">
      <w:pPr>
        <w:bidi w:val="0"/>
        <w:rPr>
          <w:rtl/>
        </w:rPr>
      </w:pPr>
      <w:r>
        <w:t xml:space="preserve">The study was performed using feminist methodology, which places the women's voice at center stage, including the voice of the researcher herself. It allows this be heard, examines the methods used to silence it, and the mechanisms for coping with that exclusion and silencing. The ontological point of departure is that in order to understand </w:t>
      </w:r>
      <w:r>
        <w:lastRenderedPageBreak/>
        <w:t>the practical and felt experiences of these women, they must be explored within the social context of the inequality of relations (Herzog, 2014). Based on this epistemology, feminist activity is a condition for understanding the power structures and reality through the eyes of the subjects acting within them (Harding &amp; Hintikka, 2003). The emphasis on a gendered and mixed perspective raises the issue of objectivity (Herzog, 2019). In this context, the methodology is rooted in the concept of “strong objectivity” coined by Harding (1991, 1993, 1996) and developed by Yanay and Berkovitch (Yanay, 2007; Yanay &amp; Berkovitch, 2006). Involvement of the researcher, who is also a subject of the study, requires a reflective position (Hesse-Biber &amp; Piatelly, 2007); that is, awareness of the place of the researcher in the field under study and the possible influence she may have on the study.</w:t>
      </w:r>
    </w:p>
    <w:p w14:paraId="7027057B" w14:textId="00DF22E1" w:rsidR="002717EE" w:rsidRDefault="003B4030" w:rsidP="00224053">
      <w:pPr>
        <w:bidi w:val="0"/>
        <w:rPr>
          <w:rtl/>
        </w:rPr>
      </w:pPr>
      <w:r>
        <w:t xml:space="preserve">The interpretation integrates several tools whose common denominator is the effort to extract data burgeoning in the field ((Strauss &amp; Corbin, 1990, 1998). The study is rooted in an epistemological approach of knowledge as a place and as a subject, and the assertion that the marginal locations have an epistemological advantage in identifying unrecognized biases of hegemony (DeVault, 1990; Harding, 1996). In this manner it studies the particular perspective of activist women who have been pushed to the </w:t>
      </w:r>
      <w:r w:rsidR="008F518D">
        <w:t>fringes</w:t>
      </w:r>
      <w:r>
        <w:t>, because they insist on sounding their voices which are perceived as subversive, and expressing positions that are perceived as radical. This study is feminist also because it learns from the experience of women</w:t>
      </w:r>
      <w:r w:rsidR="00661159">
        <w:t>,</w:t>
      </w:r>
      <w:r w:rsidR="008F518D">
        <w:t xml:space="preserve"> and </w:t>
      </w:r>
      <w:r w:rsidR="00661159">
        <w:t xml:space="preserve">in creating new knowledge it </w:t>
      </w:r>
      <w:r>
        <w:t>makes their voice heard</w:t>
      </w:r>
      <w:r w:rsidR="00661159">
        <w:t>.</w:t>
      </w:r>
      <w:r>
        <w:t xml:space="preserve"> </w:t>
      </w:r>
      <w:r w:rsidR="00661159">
        <w:t>T</w:t>
      </w:r>
      <w:r w:rsidR="008F518D">
        <w:t xml:space="preserve">he study </w:t>
      </w:r>
      <w:r>
        <w:t xml:space="preserve">bases its value and validity </w:t>
      </w:r>
      <w:r w:rsidR="00661159">
        <w:t xml:space="preserve">on </w:t>
      </w:r>
      <w:r>
        <w:t>the potential for advancing gender justice through academic research (Ramazano</w:t>
      </w:r>
      <w:r>
        <w:rPr>
          <w:rFonts w:ascii="Calibri" w:hAnsi="Calibri"/>
        </w:rPr>
        <w:t>ğ</w:t>
      </w:r>
      <w:r>
        <w:t xml:space="preserve">lu &amp; Holland, 2002). </w:t>
      </w:r>
    </w:p>
    <w:p w14:paraId="240A2D02" w14:textId="5C4FEC78" w:rsidR="00A24041" w:rsidRDefault="00562410" w:rsidP="00A24041">
      <w:pPr>
        <w:bidi w:val="0"/>
        <w:rPr>
          <w:rtl/>
        </w:rPr>
      </w:pPr>
      <w:r>
        <w:t>Thus, in this study</w:t>
      </w:r>
      <w:r w:rsidR="00661159">
        <w:t>, I serve both as the researcher and as a Talmud learner, a dual role with a dual process.</w:t>
      </w:r>
      <w:r>
        <w:t xml:space="preserve"> I documented the burgeoning field, I interviewed active women who study the Talmud, I gave them voice, and I sought to learn from their experience and from my own.</w:t>
      </w:r>
      <w:r w:rsidR="00903C38">
        <w:t xml:space="preserve"> </w:t>
      </w:r>
    </w:p>
    <w:p w14:paraId="356D59CD" w14:textId="00329049" w:rsidR="00645D1D" w:rsidRDefault="00A24041" w:rsidP="00E12EDB">
      <w:pPr>
        <w:bidi w:val="0"/>
        <w:rPr>
          <w:rtl/>
        </w:rPr>
      </w:pPr>
      <w:r>
        <w:t>The study uncovers the mechanisms involved in exclusion of women, how it becomes 'natural' and transparent, who and what is involved in the preservation of its transparency – both within and without Haredi society – and what are the strategies of action of</w:t>
      </w:r>
      <w:r w:rsidR="00903C38">
        <w:t xml:space="preserve"> </w:t>
      </w:r>
      <w:r>
        <w:t xml:space="preserve">people within the community who oppose it. </w:t>
      </w:r>
    </w:p>
    <w:p w14:paraId="3F1AF087" w14:textId="03CDA3DC" w:rsidR="00A24041" w:rsidRDefault="00A24041" w:rsidP="001A0007">
      <w:pPr>
        <w:bidi w:val="0"/>
        <w:rPr>
          <w:rtl/>
        </w:rPr>
      </w:pPr>
      <w:r>
        <w:t>The first section lays out the halakhic</w:t>
      </w:r>
      <w:r w:rsidR="00AA7A92">
        <w:rPr>
          <w:rStyle w:val="a5"/>
        </w:rPr>
        <w:footnoteReference w:id="6"/>
      </w:r>
      <w:r>
        <w:t>-cultural, historical and sociological background of the practice, and the methodology of the study.</w:t>
      </w:r>
    </w:p>
    <w:p w14:paraId="078A49D5" w14:textId="77777777" w:rsidR="00A24041" w:rsidRDefault="00A24041" w:rsidP="00E12EDB">
      <w:pPr>
        <w:bidi w:val="0"/>
        <w:rPr>
          <w:rtl/>
        </w:rPr>
      </w:pPr>
      <w:r>
        <w:t>The second section presents the findings, based on the different sources.</w:t>
      </w:r>
    </w:p>
    <w:p w14:paraId="5F3F1B3C" w14:textId="0DC4FF08" w:rsidR="000C61EC" w:rsidRPr="005D3501" w:rsidRDefault="000C61EC" w:rsidP="00224053">
      <w:pPr>
        <w:bidi w:val="0"/>
        <w:rPr>
          <w:rtl/>
        </w:rPr>
      </w:pPr>
      <w:r>
        <w:lastRenderedPageBreak/>
        <w:t xml:space="preserve">The Haredi woman who seeks to study the Talmud grew up in a reality of </w:t>
      </w:r>
      <w:r>
        <w:rPr>
          <w:b/>
          <w:bCs/>
        </w:rPr>
        <w:t>gender tracking</w:t>
      </w:r>
      <w:r>
        <w:t xml:space="preserve">, excluding her from even approaching the book. Through an ongoing negotiation with a social environment of gatekeepers and door openers (father, spouse, son, daughter and the Haredi high school), she explores </w:t>
      </w:r>
      <w:r>
        <w:rPr>
          <w:b/>
          <w:bCs/>
        </w:rPr>
        <w:t>different motivations for studying the Talmud</w:t>
      </w:r>
      <w:r>
        <w:t xml:space="preserve">, and offers an opportunity to study in a manner that preserves her identity as a Haredi woman and offers a </w:t>
      </w:r>
      <w:r>
        <w:rPr>
          <w:b/>
          <w:bCs/>
        </w:rPr>
        <w:t>Haredi habitus of a woman who studies the Talmud.</w:t>
      </w:r>
      <w:r>
        <w:t xml:space="preserve"> </w:t>
      </w:r>
    </w:p>
    <w:p w14:paraId="1304C91B" w14:textId="77777777" w:rsidR="009E1C42" w:rsidRDefault="000C61EC" w:rsidP="00A24041">
      <w:pPr>
        <w:bidi w:val="0"/>
        <w:rPr>
          <w:rtl/>
        </w:rPr>
      </w:pPr>
      <w:r>
        <w:t xml:space="preserve">The four chapters of interview analysis in Section 2 present each of the aspects shown above in bold, and they decode the meanings given by the Haredi women who participated in the study to their Talmud study. The chapters incorporate all the research methods. Each chapter opens and culminates with auto-ethnographic excerpts, specified in a distinct font for the convenience of the reader. The auto-ethnographic excerpts weave my own personal experiences as part of the field, as well as quotes from learning sessions I participated in as an observer-participant, and from conversations I held with the participants of the session and the interviewees. The remainder of the chapter is constructed around analysis of central themes that arose from the interviews. </w:t>
      </w:r>
    </w:p>
    <w:p w14:paraId="39A3D166" w14:textId="3497766A" w:rsidR="000C61EC" w:rsidRDefault="00E12EDB" w:rsidP="00AE19DE">
      <w:pPr>
        <w:bidi w:val="0"/>
        <w:rPr>
          <w:rtl/>
        </w:rPr>
      </w:pPr>
      <w:r>
        <w:t>Section 3 contains a discussion on Haredi feminism. Like any other component in the feminist revolution, this discussion must address the complexity of the question of change.</w:t>
      </w:r>
      <w:r>
        <w:rPr>
          <w:b/>
          <w:bCs/>
        </w:rPr>
        <w:t xml:space="preserve"> </w:t>
      </w:r>
      <w:r>
        <w:t xml:space="preserve">I combined the empirical research findings that analyzed the realm, the experiences and the approaches of these women who study the Talmud with broad questions on the political place of Haredi women in the broader sense of the concept. I addressed questions on how many learners there are and the myth of the “critical mass”, to the </w:t>
      </w:r>
      <w:r w:rsidR="00661159" w:rsidRPr="008010EB">
        <w:t>minor resistance</w:t>
      </w:r>
      <w:r w:rsidR="00661159" w:rsidDel="00661159">
        <w:t xml:space="preserve"> </w:t>
      </w:r>
      <w:r>
        <w:t>and the position of “</w:t>
      </w:r>
      <w:r w:rsidR="00661159">
        <w:t>becoming</w:t>
      </w:r>
      <w:r>
        <w:t>” a women who studies the Talmud (Guattari and (Deleuze,1987)</w:t>
      </w:r>
      <w:r w:rsidR="00903C38">
        <w:t xml:space="preserve"> </w:t>
      </w:r>
      <w:r>
        <w:t xml:space="preserve">and “being” a Haredi feminist. </w:t>
      </w:r>
    </w:p>
    <w:p w14:paraId="5CA4FF8F" w14:textId="60523EBB" w:rsidR="00E12EDB" w:rsidRPr="002F1A3D" w:rsidRDefault="00E12EDB" w:rsidP="00E12EDB">
      <w:pPr>
        <w:bidi w:val="0"/>
        <w:rPr>
          <w:rtl/>
        </w:rPr>
      </w:pPr>
      <w:r>
        <w:t>Study of the Talmud by women is one arena of many where Haredi society is undergoing structural change. The gendering power of the state can be demonstrated, or, in contrast, the “</w:t>
      </w:r>
      <w:r w:rsidR="00661159">
        <w:t>becoming</w:t>
      </w:r>
      <w:r>
        <w:t>” of Haredi feminism characterized by minor resistance of Haredi women to the exclusionary and gendered agenda in Haredi society may be conceptualized, in additional spheres such as the struggle against exclusion women from sectorial political parties. But above all, it is important to position the relationship between the state and Haredi society, and to consider the spectrum of the state’s involvement in structuring Haredi society, thus making it a central player in the arena where the struggle is taking place – the struggle of Haredi women against their exclusion.</w:t>
      </w:r>
    </w:p>
    <w:p w14:paraId="40ECF20E" w14:textId="44539A7D" w:rsidR="001945C4" w:rsidRDefault="001945C4" w:rsidP="00D632A5">
      <w:pPr>
        <w:bidi w:val="0"/>
        <w:rPr>
          <w:rtl/>
        </w:rPr>
      </w:pPr>
      <w:r>
        <w:t>The story of the women who study the Talmud and the story of the women who seek political representation which I addressed in my prior research (Rieder-Indursky, 2015; 2018) are not identical; each has its own account of “</w:t>
      </w:r>
      <w:r w:rsidR="00661159">
        <w:t>becoming</w:t>
      </w:r>
      <w:r>
        <w:t xml:space="preserve">”, but one can say generally that </w:t>
      </w:r>
      <w:r>
        <w:rPr>
          <w:b/>
          <w:bCs/>
        </w:rPr>
        <w:t xml:space="preserve">a life of resistance is a life of </w:t>
      </w:r>
      <w:r w:rsidR="00661159">
        <w:rPr>
          <w:b/>
          <w:bCs/>
        </w:rPr>
        <w:t>becoming</w:t>
      </w:r>
      <w:r>
        <w:rPr>
          <w:b/>
          <w:bCs/>
        </w:rPr>
        <w:t>.</w:t>
      </w:r>
      <w:r w:rsidR="00661159" w:rsidDel="00661159">
        <w:t xml:space="preserve"> </w:t>
      </w:r>
    </w:p>
    <w:p w14:paraId="5D0EEC82" w14:textId="1BBACF84" w:rsidR="000C61EC" w:rsidRPr="00EA4E53" w:rsidRDefault="000C61EC" w:rsidP="00661159">
      <w:pPr>
        <w:bidi w:val="0"/>
        <w:rPr>
          <w:rtl/>
        </w:rPr>
      </w:pPr>
      <w:r>
        <w:lastRenderedPageBreak/>
        <w:t xml:space="preserve">Furthermore, the test case casts a spotlight on the role of the state, being that it is part of the religious, state and gender relations in general, and part of the relationship between </w:t>
      </w:r>
      <w:r w:rsidR="00C3355C">
        <w:t>the state</w:t>
      </w:r>
      <w:r>
        <w:t xml:space="preserve"> and Haredi society – and Haredi women in particular. I thus also addressed the gendered way in which the state related to the educational institutions of boys and girls during the first wave of </w:t>
      </w:r>
      <w:r w:rsidR="00A85C56" w:rsidRPr="00A85C56">
        <w:rPr>
          <w:smallCaps/>
        </w:rPr>
        <w:t>covid</w:t>
      </w:r>
      <w:r>
        <w:t>-19, to hone in on the place of the state as partner to reinforcement of the gendered power relations, and I proposed policy for major activity on the part of the state.</w:t>
      </w:r>
    </w:p>
    <w:p w14:paraId="209426DF" w14:textId="04AC798E" w:rsidR="001945C4" w:rsidRPr="002F1A3D" w:rsidRDefault="001945C4" w:rsidP="004A14A8">
      <w:pPr>
        <w:bidi w:val="0"/>
        <w:rPr>
          <w:rtl/>
        </w:rPr>
      </w:pPr>
      <w:r>
        <w:t>I arrived at this research activity from the field.</w:t>
      </w:r>
      <w:r w:rsidR="00903615">
        <w:t xml:space="preserve"> </w:t>
      </w:r>
      <w:r>
        <w:t xml:space="preserve">My book, based on my master’s thesis, addressed the struggle for political representation (Reider-Indursky, 2015). The yearning of women to study the Talmud was already clear there, in a manner conceptualized by them as “access to the Jewish bookshelf”. I was just starting out at that point, and was also entrenched in a numbers approach; I thus emphasized at that point that that yearning reflected only a small, marginal group. I only learned about the existence of the “Torah” group when I was proofreading my book, so they earned mention only in a footnote (p. 74). </w:t>
      </w:r>
      <w:r w:rsidR="00903615">
        <w:t>Out of</w:t>
      </w:r>
      <w:r>
        <w:t xml:space="preserve"> that footnote they have </w:t>
      </w:r>
      <w:r w:rsidR="00903615">
        <w:t xml:space="preserve">now </w:t>
      </w:r>
      <w:r>
        <w:t xml:space="preserve">become the heroines of a study of their own. </w:t>
      </w:r>
    </w:p>
    <w:p w14:paraId="6EA40536" w14:textId="229D676E" w:rsidR="001945C4" w:rsidRPr="00EA4E53" w:rsidRDefault="001945C4" w:rsidP="004A7D9A">
      <w:pPr>
        <w:bidi w:val="0"/>
        <w:rPr>
          <w:rtl/>
        </w:rPr>
      </w:pPr>
      <w:r>
        <w:t xml:space="preserve">I set out on a journey to understanding the realm of women who study the Talmud and my own personal experience as a woman studying the Talmud for the first time. In my backpack I was equipped with several anchors and theoretical guides in the form of different theoretical fields of knowledge that I combined. I chose not to make use of </w:t>
      </w:r>
      <w:r w:rsidR="00903615">
        <w:t xml:space="preserve">just </w:t>
      </w:r>
      <w:r>
        <w:t xml:space="preserve">one central theory, but rather different approaches within which and across which are </w:t>
      </w:r>
      <w:r w:rsidR="00874108">
        <w:t xml:space="preserve">disputes </w:t>
      </w:r>
      <w:r>
        <w:t>and differing viewpoints. In the course of the discussion and analysis I filtered these and used only those portions that served me in exploring the intersection between cultural structures and agency of women, and those that helped me analyze the challenging women’s discourse and activity.</w:t>
      </w:r>
    </w:p>
    <w:p w14:paraId="2568DE68" w14:textId="3A68AE9F" w:rsidR="001945C4" w:rsidRPr="00EA4E53" w:rsidRDefault="001945C4" w:rsidP="004A7D9A">
      <w:pPr>
        <w:bidi w:val="0"/>
        <w:rPr>
          <w:rtl/>
        </w:rPr>
      </w:pPr>
      <w:r>
        <w:t xml:space="preserve">The process I carried out was not a simple one, for several reasons. First – the very choice of a silenced topic, which at the start of this study was nearly taboo, as reflected by this work’s earlier title, “At first, it was a secret” (a quote from one of the interviewees). As my research progressed, I understood that exposing the secret as academic research would be very significant – disclosing the exclusion and giving voice to a silenced group are invaluable; advancing invisible women so that they can be on center stage has a substantive aim and purpose. But the study also exposes something much more significant – a unique paradox: mechanisms of confinement behind transparent </w:t>
      </w:r>
      <w:r w:rsidR="008F518D">
        <w:t>bars</w:t>
      </w:r>
      <w:r>
        <w:t xml:space="preserve"> and a heroic struggle to petition against this transparency. As I proceeded with the analysis, the realization set in that these transparent </w:t>
      </w:r>
      <w:r w:rsidR="008F518D">
        <w:t>bars</w:t>
      </w:r>
      <w:r>
        <w:t xml:space="preserve"> enclose all the axes of the </w:t>
      </w:r>
      <w:r w:rsidR="00903615">
        <w:t>triad</w:t>
      </w:r>
      <w:r>
        <w:t xml:space="preserve"> – religion, gender and state; through an involved process I was also able to expose the transparency of the state which has been putting one nail after another into the gendered transparent </w:t>
      </w:r>
      <w:r w:rsidR="008F518D">
        <w:t>bars</w:t>
      </w:r>
      <w:r>
        <w:t>, reinforcing them.</w:t>
      </w:r>
    </w:p>
    <w:p w14:paraId="432903F0" w14:textId="77777777" w:rsidR="00715676" w:rsidRPr="00EA4E53" w:rsidRDefault="00715676" w:rsidP="004A7D9A">
      <w:pPr>
        <w:bidi w:val="0"/>
        <w:rPr>
          <w:rtl/>
        </w:rPr>
      </w:pPr>
      <w:r>
        <w:lastRenderedPageBreak/>
        <w:t>The study found that these new players initiate collaborations and forge alliances with other subversive forces in the field (for example, men who would like to teach them, as shown in this study). It also found that the interrelationships and movement within the field are what serve as the foundations for the activity within the field; the new options formed within it with the entry of women satisfy the needs that the dominant canon and practices in the field have abandoned to the margins. According to Bourdieu, people are the product of their group and their status, and the power relations taking place in a given society rigidify the perceptions of the dominant players. The cultural meaning created in the field defines its unique, legitimate capital without aspiring toward a change or a revolution within it. Those who hold the monopoly tend to preserve the current situation, while new players in the field, characterized by a lesser amount of capital, tend toward strategies of revolution. But beyond the rivalry, a shared interest of players new and old is found, so that the field – the Haredi world – may continue to exist. In this way the strategies of revolution do not exceed the boundaries in a manner that would threaten the existence of the field. The fear of the players that they may be pushed away from the field results in revolutions that are only partial, so that they do not jeopardize the continuation of the game.</w:t>
      </w:r>
    </w:p>
    <w:p w14:paraId="1788E4F5" w14:textId="30D4CDD3" w:rsidR="001945C4" w:rsidRDefault="00715676" w:rsidP="004A7D9A">
      <w:pPr>
        <w:bidi w:val="0"/>
        <w:rPr>
          <w:rtl/>
        </w:rPr>
      </w:pPr>
      <w:r>
        <w:t>In the future, if the presence of</w:t>
      </w:r>
      <w:r w:rsidR="00903C38">
        <w:t xml:space="preserve"> </w:t>
      </w:r>
      <w:r>
        <w:t xml:space="preserve">Haredi women in the field continues to grow, they will be able, similar to the religious women who have already done so, to create renewed negotiations on the habitus itself (Gordin, 2006; Feuchtwanger, 2011). But in the course of this study, the Haredi women who study the Talmud have already been serving as agents of social and cultural change, regardless of their awareness as players, and even considering their vehement, explicit denial, as was observed among some of the interviewees. </w:t>
      </w:r>
    </w:p>
    <w:p w14:paraId="79C44B84" w14:textId="78C84422" w:rsidR="00715676" w:rsidRDefault="00715676" w:rsidP="004A7D9A">
      <w:pPr>
        <w:bidi w:val="0"/>
        <w:rPr>
          <w:rtl/>
        </w:rPr>
      </w:pPr>
      <w:r>
        <w:t>The study’s contribution, beyond exposing transparent mechanisms of exclusion, is the elucidation of the term “Haredi feminism”, a sociological concept not uniformly defined, but dependent upon interpretation and definition of the Haredi women who live with it, who at fear it, who yearn for it, who wish to expand their arena of activity, who interact with it out of suspicion and curiosity, who interpret it in their own special way, who give it presence and who argue about it. The explanations given to this term by the Haredi women in this study are not necessarily faithful to the meanings given by other women nor do they necessarily include them, but similar to processes undergone by other groups with regard to the term, we observe a process of granting new meaning to what until that point may have only been perceived as routine and as intersectionality of meaning.</w:t>
      </w:r>
      <w:r w:rsidR="00903C38">
        <w:t xml:space="preserve"> </w:t>
      </w:r>
      <w:r>
        <w:t>Haredi</w:t>
      </w:r>
      <w:r w:rsidR="007709B3">
        <w:rPr>
          <w:rStyle w:val="a5"/>
        </w:rPr>
        <w:footnoteReference w:id="7"/>
      </w:r>
      <w:r>
        <w:t xml:space="preserve"> feminism is</w:t>
      </w:r>
      <w:r w:rsidR="007709B3">
        <w:t xml:space="preserve"> fearful, or</w:t>
      </w:r>
      <w:r>
        <w:t xml:space="preserve"> anxious</w:t>
      </w:r>
      <w:r w:rsidR="007709B3">
        <w:t>,</w:t>
      </w:r>
      <w:r>
        <w:t xml:space="preserve"> feminism. Feminism whose activity is accompanied by great anxiety. Physical anxiety drawing from vitriolic threats hurled </w:t>
      </w:r>
      <w:r>
        <w:lastRenderedPageBreak/>
        <w:t xml:space="preserve">at that activity. Anxiety about integrity of arrangements within the private confines, and anxiety about integrity of the halakhic order of life. Alongside the anxiety, the distinction between halakha and culture are becoming more delineated, as a borderline and as an insurance policy, binding together equality with halakha, as well as binding together boundaries of belonging with choice. The intersectionality between the sacred and the profane forms a new stream, one which is variegated and one-of-a-kind. </w:t>
      </w:r>
    </w:p>
    <w:p w14:paraId="7A91EFD9" w14:textId="7A7208D4" w:rsidR="00715676" w:rsidRPr="00064A60" w:rsidRDefault="00715676" w:rsidP="00BE1390">
      <w:pPr>
        <w:bidi w:val="0"/>
      </w:pPr>
      <w:r>
        <w:t xml:space="preserve">The Haredi women who study the Talmud are bolstered by the religious women who study the Talmud, who blazed the trail for them. But this study has found that the Haredi women who study the Talmud insist on a uniqueness of their own work, and do not wish to be placed in the existing class of religious feminist women. They emphasize their uniqueness in their own distinct habitus specifically for Haredi women who study Talmud, insist on studying in gender-separated groups, prefer to be taught by Haredi men and not by religious women, as shown in the study. They seek to blaze their own trail within the Haredi world. In this sense they </w:t>
      </w:r>
      <w:r w:rsidR="005D77E9">
        <w:t>are acting</w:t>
      </w:r>
      <w:r>
        <w:t xml:space="preserve"> toward social change within their own society, even if they have only just begun.</w:t>
      </w:r>
    </w:p>
    <w:p w14:paraId="4BAB636C" w14:textId="1F564573" w:rsidR="00715676" w:rsidRPr="00EA4E53" w:rsidRDefault="00715676" w:rsidP="00224053">
      <w:pPr>
        <w:bidi w:val="0"/>
        <w:rPr>
          <w:rtl/>
        </w:rPr>
      </w:pPr>
      <w:r>
        <w:t>This study has illuminated the cultural complexity of Haredi women’s feminist experience, even if they do not all label themselves as such – women who act against natural cultural forces and original streams of their society</w:t>
      </w:r>
      <w:r w:rsidR="005D77E9">
        <w:t>. It has also</w:t>
      </w:r>
      <w:r>
        <w:t xml:space="preserve"> considered the processes through which they structure their identities as Haredi feminists. Furthermore the study contributes to understanding Haredi women as a developing phenomenon, and the battle over defining Haredism and its essence. The Haredi women who took part in this study are not willing to forego their being Haredi, but they wish to broaden the meaning of being Haredi and their share in this community.</w:t>
      </w:r>
    </w:p>
    <w:p w14:paraId="09120F5D" w14:textId="7FD6265E" w:rsidR="00A63029" w:rsidRPr="00EA4E53" w:rsidRDefault="0053157B" w:rsidP="00AC0469">
      <w:pPr>
        <w:bidi w:val="0"/>
        <w:rPr>
          <w:rtl/>
        </w:rPr>
      </w:pPr>
      <w:r>
        <w:t>Apart from</w:t>
      </w:r>
      <w:r w:rsidR="00715676">
        <w:t xml:space="preserve"> exposing the transparent mechanisms of exclusion in Haredi society, the study pointed out the blind spot that exists with regard to the role the state plays in preserving and buttressing these mechanisms, and offered possible policies by which the state could take responsibility for its role in this phenomenon, supporting Haredi women who seek to breach the </w:t>
      </w:r>
      <w:r w:rsidR="008F518D">
        <w:t>bars</w:t>
      </w:r>
      <w:r w:rsidR="00715676">
        <w:t xml:space="preserve"> and make their way out of them.</w:t>
      </w:r>
    </w:p>
    <w:sectPr w:rsidR="00A63029" w:rsidRPr="00EA4E53" w:rsidSect="00111AD9">
      <w:footerReference w:type="default" r:id="rId8"/>
      <w:pgSz w:w="11906" w:h="16838"/>
      <w:pgMar w:top="1440" w:right="1800" w:bottom="1440" w:left="1800" w:header="708" w:footer="708"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724CB" w16cex:dateUtc="2022-06-17T13:05:00Z"/>
  <w16cex:commentExtensible w16cex:durableId="26572586" w16cex:dateUtc="2022-06-17T13:08:00Z"/>
  <w16cex:commentExtensible w16cex:durableId="265725E6" w16cex:dateUtc="2022-06-17T13:10:00Z"/>
  <w16cex:commentExtensible w16cex:durableId="265726C2" w16cex:dateUtc="2022-06-17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2AA4CD" w16cid:durableId="26572346"/>
  <w16cid:commentId w16cid:paraId="5858C103" w16cid:durableId="26572349"/>
  <w16cid:commentId w16cid:paraId="27D55958" w16cid:durableId="2654B762"/>
  <w16cid:commentId w16cid:paraId="6B062854" w16cid:durableId="2657234B"/>
  <w16cid:commentId w16cid:paraId="3ED15EE2" w16cid:durableId="2654B763"/>
  <w16cid:commentId w16cid:paraId="1941A064" w16cid:durableId="2657234D"/>
  <w16cid:commentId w16cid:paraId="0131DCBF" w16cid:durableId="2654B764"/>
  <w16cid:commentId w16cid:paraId="580C23D6" w16cid:durableId="2657234F"/>
  <w16cid:commentId w16cid:paraId="70EE3A4A" w16cid:durableId="2654B765"/>
  <w16cid:commentId w16cid:paraId="08AA042D" w16cid:durableId="26572351"/>
  <w16cid:commentId w16cid:paraId="7E3F1DD8" w16cid:durableId="2654B766"/>
  <w16cid:commentId w16cid:paraId="54B54DC1" w16cid:durableId="26572353"/>
  <w16cid:commentId w16cid:paraId="5668E1AD" w16cid:durableId="2654B767"/>
  <w16cid:commentId w16cid:paraId="7A2A1E46" w16cid:durableId="26572355"/>
  <w16cid:commentId w16cid:paraId="10A68D95" w16cid:durableId="2654B768"/>
  <w16cid:commentId w16cid:paraId="5EBD7441" w16cid:durableId="26572357"/>
  <w16cid:commentId w16cid:paraId="60923789" w16cid:durableId="2654B769"/>
  <w16cid:commentId w16cid:paraId="5A4C136F" w16cid:durableId="26572359"/>
  <w16cid:commentId w16cid:paraId="64697BA1" w16cid:durableId="2654B76A"/>
  <w16cid:commentId w16cid:paraId="25006938" w16cid:durableId="2657235B"/>
  <w16cid:commentId w16cid:paraId="691C4EB4" w16cid:durableId="265724CB"/>
  <w16cid:commentId w16cid:paraId="3DB8A8CE" w16cid:durableId="2654B76B"/>
  <w16cid:commentId w16cid:paraId="49CCC8E5" w16cid:durableId="2657235D"/>
  <w16cid:commentId w16cid:paraId="25555EF7" w16cid:durableId="26572586"/>
  <w16cid:commentId w16cid:paraId="295114ED" w16cid:durableId="2657235E"/>
  <w16cid:commentId w16cid:paraId="557F6D09" w16cid:durableId="2657235F"/>
  <w16cid:commentId w16cid:paraId="3B458EF8" w16cid:durableId="26572361"/>
  <w16cid:commentId w16cid:paraId="59F55CFC" w16cid:durableId="265725E6"/>
  <w16cid:commentId w16cid:paraId="16939E98" w16cid:durableId="2654B76D"/>
  <w16cid:commentId w16cid:paraId="6C83DB0C" w16cid:durableId="26572364"/>
  <w16cid:commentId w16cid:paraId="3837F8F9" w16cid:durableId="2654B76E"/>
  <w16cid:commentId w16cid:paraId="135A1B9F" w16cid:durableId="26572366"/>
  <w16cid:commentId w16cid:paraId="5657346F" w16cid:durableId="2654B76F"/>
  <w16cid:commentId w16cid:paraId="0FF4D7B5" w16cid:durableId="26572368"/>
  <w16cid:commentId w16cid:paraId="6A836734" w16cid:durableId="2654B770"/>
  <w16cid:commentId w16cid:paraId="502946BB" w16cid:durableId="2657236A"/>
  <w16cid:commentId w16cid:paraId="1B35EEF3" w16cid:durableId="2657236B"/>
  <w16cid:commentId w16cid:paraId="4AFC05FD" w16cid:durableId="265726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28B05" w14:textId="77777777" w:rsidR="00176B1A" w:rsidRDefault="00176B1A" w:rsidP="00224053">
      <w:pPr>
        <w:bidi w:val="0"/>
      </w:pPr>
      <w:r>
        <w:separator/>
      </w:r>
    </w:p>
  </w:endnote>
  <w:endnote w:type="continuationSeparator" w:id="0">
    <w:p w14:paraId="42D229D8" w14:textId="77777777" w:rsidR="00176B1A" w:rsidRDefault="00176B1A" w:rsidP="00224053">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762776"/>
      <w:docPartObj>
        <w:docPartGallery w:val="Page Numbers (Bottom of Page)"/>
        <w:docPartUnique/>
      </w:docPartObj>
    </w:sdtPr>
    <w:sdtEndPr/>
    <w:sdtContent>
      <w:p w14:paraId="0DCF0DA5" w14:textId="6450DCAE" w:rsidR="00224053" w:rsidRDefault="00224053" w:rsidP="00224053">
        <w:pPr>
          <w:pStyle w:val="af"/>
          <w:bidi w:val="0"/>
          <w:jc w:val="center"/>
          <w:rPr>
            <w:rtl/>
            <w:cs/>
          </w:rPr>
        </w:pPr>
        <w:r>
          <w:fldChar w:fldCharType="begin"/>
        </w:r>
        <w:r>
          <w:rPr>
            <w:rtl/>
            <w:cs/>
          </w:rPr>
          <w:instrText>PAGE   \* MERGEFORMAT</w:instrText>
        </w:r>
        <w:r>
          <w:fldChar w:fldCharType="separate"/>
        </w:r>
        <w:r w:rsidR="00A3661D">
          <w:rPr>
            <w:noProof/>
          </w:rPr>
          <w:t>3</w:t>
        </w:r>
        <w:r>
          <w:fldChar w:fldCharType="end"/>
        </w:r>
      </w:p>
    </w:sdtContent>
  </w:sdt>
  <w:p w14:paraId="5B4B339A" w14:textId="77777777" w:rsidR="00224053" w:rsidRDefault="00224053" w:rsidP="0022405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98C6A" w14:textId="77777777" w:rsidR="00176B1A" w:rsidRDefault="00176B1A" w:rsidP="00B361EB">
      <w:pPr>
        <w:bidi w:val="0"/>
      </w:pPr>
      <w:r>
        <w:separator/>
      </w:r>
    </w:p>
  </w:footnote>
  <w:footnote w:type="continuationSeparator" w:id="0">
    <w:p w14:paraId="77B1FD60" w14:textId="77777777" w:rsidR="00176B1A" w:rsidRDefault="00176B1A" w:rsidP="00224053">
      <w:pPr>
        <w:bidi w:val="0"/>
      </w:pPr>
      <w:r>
        <w:continuationSeparator/>
      </w:r>
    </w:p>
  </w:footnote>
  <w:footnote w:id="1">
    <w:p w14:paraId="4750B774" w14:textId="644C506D" w:rsidR="001B0EA9" w:rsidRDefault="001B0EA9" w:rsidP="005B48E4">
      <w:pPr>
        <w:pStyle w:val="a3"/>
        <w:bidi w:val="0"/>
      </w:pPr>
      <w:r>
        <w:rPr>
          <w:rStyle w:val="a5"/>
        </w:rPr>
        <w:footnoteRef/>
      </w:r>
      <w:r>
        <w:t xml:space="preserve"> “Talmud” and “Gemara” are equivalent terms, one in Hebrew and one in Aramaic, that refer to the central corpus of knowledge composed between the third and sixth centuries in Babylonia and in the Land of Israel. In the research sphere</w:t>
      </w:r>
      <w:r w:rsidR="00DC1580">
        <w:t>,</w:t>
      </w:r>
      <w:r>
        <w:t xml:space="preserve"> the term ‘Talmud’ is more prevalent, while in Haredi society and in the world of Talmud study, the term ‘Gemara’ is used. This is also the term </w:t>
      </w:r>
      <w:r w:rsidR="0089624B" w:rsidRPr="0089624B">
        <w:t>used by the women in the field of this study</w:t>
      </w:r>
      <w:r>
        <w:t>, and is one used throughout the work. In this English abstract, the term Talmud is used.</w:t>
      </w:r>
    </w:p>
  </w:footnote>
  <w:footnote w:id="2">
    <w:p w14:paraId="7E9AA9DD" w14:textId="77777777" w:rsidR="005B48E4" w:rsidRDefault="005B48E4">
      <w:pPr>
        <w:pStyle w:val="a3"/>
        <w:bidi w:val="0"/>
        <w:rPr>
          <w:rtl/>
        </w:rPr>
      </w:pPr>
      <w:r>
        <w:rPr>
          <w:rStyle w:val="a5"/>
        </w:rPr>
        <w:footnoteRef/>
      </w:r>
      <w:r>
        <w:t xml:space="preserve"> The focus of my master’s thesis</w:t>
      </w:r>
    </w:p>
  </w:footnote>
  <w:footnote w:id="3">
    <w:p w14:paraId="0E73837E" w14:textId="77777777" w:rsidR="00073C75" w:rsidRDefault="00073C75" w:rsidP="00224053">
      <w:pPr>
        <w:pStyle w:val="a3"/>
        <w:bidi w:val="0"/>
      </w:pPr>
      <w:r>
        <w:rPr>
          <w:rStyle w:val="a5"/>
        </w:rPr>
        <w:footnoteRef/>
      </w:r>
      <w:r>
        <w:t xml:space="preserve"> M. Avot 6:1 – Torah study only for the sake of study, in contrast with study that is functional and utilitarian.</w:t>
      </w:r>
    </w:p>
  </w:footnote>
  <w:footnote w:id="4">
    <w:p w14:paraId="00882429" w14:textId="77777777" w:rsidR="00A434A3" w:rsidRDefault="00A434A3" w:rsidP="00FD772C">
      <w:pPr>
        <w:pStyle w:val="a3"/>
        <w:bidi w:val="0"/>
      </w:pPr>
      <w:r>
        <w:rPr>
          <w:rStyle w:val="a5"/>
        </w:rPr>
        <w:footnoteRef/>
      </w:r>
      <w:r>
        <w:t xml:space="preserve"> Religiosity and Haredism, Orthodoxy and Ultra-Orthodoxy are two different streams; the distinctions between them have been addressed comprehensively in sociological research (Friedman, 1991; Leon, 2020; Braun, 2017b). Consequently, Orthodox feminism as an outgrowth of the Orthodox communities in the United States which began to develop in Israel in the 1970s differs from the Haredi feminism addressed by this study as an added stage in its conceptualization. (Ross, 2007; Kehat, 2017; Artzi Sror, 2018; Rieder-Indursky, 2018)</w:t>
      </w:r>
    </w:p>
  </w:footnote>
  <w:footnote w:id="5">
    <w:p w14:paraId="01DFF2E5" w14:textId="77777777" w:rsidR="00AE4B24" w:rsidRPr="00AE4B24" w:rsidRDefault="00AE4B24" w:rsidP="00AE4B24">
      <w:pPr>
        <w:pStyle w:val="a3"/>
        <w:bidi w:val="0"/>
      </w:pPr>
      <w:r>
        <w:rPr>
          <w:rStyle w:val="a5"/>
        </w:rPr>
        <w:footnoteRef/>
      </w:r>
      <w:r>
        <w:t xml:space="preserve"> Another central tool, for example, is the regime of gender separation, that transforms every gathering into a synagogue, and generally creates an arena of central activity that women are not party to.</w:t>
      </w:r>
    </w:p>
    <w:p w14:paraId="0775DEF0" w14:textId="77777777" w:rsidR="00AE4B24" w:rsidRPr="00AE4B24" w:rsidRDefault="00AE4B24">
      <w:pPr>
        <w:pStyle w:val="a3"/>
      </w:pPr>
    </w:p>
  </w:footnote>
  <w:footnote w:id="6">
    <w:p w14:paraId="0313D85C" w14:textId="2E6CE08A" w:rsidR="00AA7A92" w:rsidRDefault="00AA7A92" w:rsidP="00AA7A92">
      <w:pPr>
        <w:pStyle w:val="a3"/>
        <w:bidi w:val="0"/>
      </w:pPr>
      <w:r>
        <w:rPr>
          <w:rStyle w:val="a5"/>
        </w:rPr>
        <w:footnoteRef/>
      </w:r>
      <w:r>
        <w:rPr>
          <w:rtl/>
        </w:rPr>
        <w:t xml:space="preserve"> </w:t>
      </w:r>
      <w:r>
        <w:t>rulings in Jewish law</w:t>
      </w:r>
    </w:p>
  </w:footnote>
  <w:footnote w:id="7">
    <w:p w14:paraId="6CB76C0D" w14:textId="47D93BFA" w:rsidR="007709B3" w:rsidRDefault="007709B3" w:rsidP="00B06670">
      <w:pPr>
        <w:pStyle w:val="a3"/>
        <w:bidi w:val="0"/>
      </w:pPr>
      <w:r>
        <w:rPr>
          <w:rStyle w:val="a5"/>
        </w:rPr>
        <w:footnoteRef/>
      </w:r>
      <w:r>
        <w:rPr>
          <w:rFonts w:hint="cs"/>
        </w:rPr>
        <w:t>T</w:t>
      </w:r>
      <w:r>
        <w:t>he word ‘Haredi’ is rooted in the word ‘fear’, short for ‘one who fears G-d’.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C5458"/>
    <w:multiLevelType w:val="multilevel"/>
    <w:tmpl w:val="0BAA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527"/>
    <w:rsid w:val="00063FDE"/>
    <w:rsid w:val="00073C75"/>
    <w:rsid w:val="000C5767"/>
    <w:rsid w:val="000C61EC"/>
    <w:rsid w:val="000E5948"/>
    <w:rsid w:val="000F2157"/>
    <w:rsid w:val="000F34CE"/>
    <w:rsid w:val="000F359D"/>
    <w:rsid w:val="00111AD9"/>
    <w:rsid w:val="00147606"/>
    <w:rsid w:val="00150BEC"/>
    <w:rsid w:val="00157397"/>
    <w:rsid w:val="00162318"/>
    <w:rsid w:val="00176B1A"/>
    <w:rsid w:val="001945C4"/>
    <w:rsid w:val="001A0007"/>
    <w:rsid w:val="001B0EA9"/>
    <w:rsid w:val="001B1E2E"/>
    <w:rsid w:val="001B775E"/>
    <w:rsid w:val="00224053"/>
    <w:rsid w:val="0024061B"/>
    <w:rsid w:val="002577BB"/>
    <w:rsid w:val="00271703"/>
    <w:rsid w:val="002717EE"/>
    <w:rsid w:val="00286693"/>
    <w:rsid w:val="00342342"/>
    <w:rsid w:val="0037304E"/>
    <w:rsid w:val="003A3676"/>
    <w:rsid w:val="003B4030"/>
    <w:rsid w:val="00424C4C"/>
    <w:rsid w:val="00435092"/>
    <w:rsid w:val="0045597B"/>
    <w:rsid w:val="0047022B"/>
    <w:rsid w:val="00477512"/>
    <w:rsid w:val="00482548"/>
    <w:rsid w:val="004A14A8"/>
    <w:rsid w:val="004A7D9A"/>
    <w:rsid w:val="004C6D4D"/>
    <w:rsid w:val="004D1E45"/>
    <w:rsid w:val="004F4C77"/>
    <w:rsid w:val="0053157B"/>
    <w:rsid w:val="00543DCA"/>
    <w:rsid w:val="00562410"/>
    <w:rsid w:val="00563160"/>
    <w:rsid w:val="0056685E"/>
    <w:rsid w:val="005B48E4"/>
    <w:rsid w:val="005D77E9"/>
    <w:rsid w:val="005E312A"/>
    <w:rsid w:val="005F3AC6"/>
    <w:rsid w:val="00645D1D"/>
    <w:rsid w:val="00646168"/>
    <w:rsid w:val="00661159"/>
    <w:rsid w:val="006A5B0F"/>
    <w:rsid w:val="006C0221"/>
    <w:rsid w:val="006D137C"/>
    <w:rsid w:val="006E4B16"/>
    <w:rsid w:val="00715676"/>
    <w:rsid w:val="00717337"/>
    <w:rsid w:val="007532E5"/>
    <w:rsid w:val="007709B3"/>
    <w:rsid w:val="00770A4F"/>
    <w:rsid w:val="007B6030"/>
    <w:rsid w:val="007C2527"/>
    <w:rsid w:val="007E4721"/>
    <w:rsid w:val="008010EB"/>
    <w:rsid w:val="00867885"/>
    <w:rsid w:val="00874108"/>
    <w:rsid w:val="0089624B"/>
    <w:rsid w:val="008A3E4C"/>
    <w:rsid w:val="008F518D"/>
    <w:rsid w:val="00903615"/>
    <w:rsid w:val="00903C38"/>
    <w:rsid w:val="00970338"/>
    <w:rsid w:val="009C68A9"/>
    <w:rsid w:val="009E1C42"/>
    <w:rsid w:val="00A2090F"/>
    <w:rsid w:val="00A24041"/>
    <w:rsid w:val="00A3661D"/>
    <w:rsid w:val="00A4235A"/>
    <w:rsid w:val="00A434A3"/>
    <w:rsid w:val="00A5339F"/>
    <w:rsid w:val="00A63029"/>
    <w:rsid w:val="00A72D78"/>
    <w:rsid w:val="00A85C56"/>
    <w:rsid w:val="00AA7A92"/>
    <w:rsid w:val="00AA7B58"/>
    <w:rsid w:val="00AB05C6"/>
    <w:rsid w:val="00AC0469"/>
    <w:rsid w:val="00AE19DE"/>
    <w:rsid w:val="00AE4B24"/>
    <w:rsid w:val="00B06670"/>
    <w:rsid w:val="00B23FFE"/>
    <w:rsid w:val="00B361EB"/>
    <w:rsid w:val="00B906C1"/>
    <w:rsid w:val="00BE1390"/>
    <w:rsid w:val="00BE50A1"/>
    <w:rsid w:val="00C10DF4"/>
    <w:rsid w:val="00C11F23"/>
    <w:rsid w:val="00C3355C"/>
    <w:rsid w:val="00C40498"/>
    <w:rsid w:val="00C45768"/>
    <w:rsid w:val="00CA6918"/>
    <w:rsid w:val="00CD1D7C"/>
    <w:rsid w:val="00D31AF8"/>
    <w:rsid w:val="00D632A5"/>
    <w:rsid w:val="00D66963"/>
    <w:rsid w:val="00DA67DF"/>
    <w:rsid w:val="00DA680C"/>
    <w:rsid w:val="00DB5328"/>
    <w:rsid w:val="00DC1580"/>
    <w:rsid w:val="00E12EDB"/>
    <w:rsid w:val="00E265A4"/>
    <w:rsid w:val="00E57AA7"/>
    <w:rsid w:val="00E63522"/>
    <w:rsid w:val="00EA7DB9"/>
    <w:rsid w:val="00EC2E4C"/>
    <w:rsid w:val="00F25F66"/>
    <w:rsid w:val="00F31376"/>
    <w:rsid w:val="00F422A6"/>
    <w:rsid w:val="00F57107"/>
    <w:rsid w:val="00F719B9"/>
    <w:rsid w:val="00FB36F5"/>
    <w:rsid w:val="00FD77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1441"/>
  <w15:chartTrackingRefBased/>
  <w15:docId w15:val="{38A3DA0E-C005-41E0-BD71-BB9730E3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053"/>
    <w:pPr>
      <w:tabs>
        <w:tab w:val="left" w:pos="368"/>
      </w:tabs>
      <w:bidi/>
      <w:spacing w:line="360" w:lineRule="auto"/>
      <w:jc w:val="both"/>
    </w:pPr>
    <w:rPr>
      <w:rFonts w:ascii="David" w:hAnsi="David" w:cs="David"/>
      <w:sz w:val="24"/>
      <w:szCs w:val="24"/>
    </w:rPr>
  </w:style>
  <w:style w:type="paragraph" w:styleId="1">
    <w:name w:val="heading 1"/>
    <w:basedOn w:val="a"/>
    <w:next w:val="a"/>
    <w:link w:val="10"/>
    <w:uiPriority w:val="9"/>
    <w:qFormat/>
    <w:rsid w:val="00F422A6"/>
    <w:pPr>
      <w:keepNext/>
      <w:keepLines/>
      <w:spacing w:before="240" w:after="0"/>
      <w:outlineLvl w:val="0"/>
    </w:pPr>
    <w:rPr>
      <w:rFonts w:eastAsia="Times New Roman"/>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qFormat/>
    <w:rsid w:val="00562410"/>
    <w:pPr>
      <w:spacing w:after="0" w:line="240" w:lineRule="auto"/>
    </w:pPr>
    <w:rPr>
      <w:sz w:val="20"/>
      <w:szCs w:val="20"/>
    </w:rPr>
  </w:style>
  <w:style w:type="character" w:customStyle="1" w:styleId="a4">
    <w:name w:val="טקסט הערת שוליים תו"/>
    <w:basedOn w:val="a0"/>
    <w:link w:val="a3"/>
    <w:uiPriority w:val="99"/>
    <w:rsid w:val="00562410"/>
    <w:rPr>
      <w:sz w:val="20"/>
      <w:szCs w:val="20"/>
    </w:rPr>
  </w:style>
  <w:style w:type="character" w:styleId="a5">
    <w:name w:val="footnote reference"/>
    <w:basedOn w:val="a0"/>
    <w:uiPriority w:val="99"/>
    <w:semiHidden/>
    <w:unhideWhenUsed/>
    <w:rsid w:val="00562410"/>
    <w:rPr>
      <w:vertAlign w:val="superscript"/>
    </w:rPr>
  </w:style>
  <w:style w:type="character" w:styleId="Hyperlink">
    <w:name w:val="Hyperlink"/>
    <w:uiPriority w:val="99"/>
    <w:rsid w:val="00562410"/>
    <w:rPr>
      <w:color w:val="0000FF"/>
      <w:u w:val="single"/>
    </w:rPr>
  </w:style>
  <w:style w:type="paragraph" w:customStyle="1" w:styleId="11">
    <w:name w:val="טקסט הערת שוליים1"/>
    <w:basedOn w:val="a"/>
    <w:next w:val="a3"/>
    <w:uiPriority w:val="99"/>
    <w:rsid w:val="0037304E"/>
    <w:pPr>
      <w:spacing w:after="0" w:line="240" w:lineRule="auto"/>
    </w:pPr>
    <w:rPr>
      <w:rFonts w:ascii="Calibri" w:eastAsia="Times New Roman" w:hAnsi="Calibri" w:cs="Arial"/>
      <w:sz w:val="20"/>
      <w:szCs w:val="20"/>
    </w:rPr>
  </w:style>
  <w:style w:type="character" w:styleId="a6">
    <w:name w:val="annotation reference"/>
    <w:basedOn w:val="a0"/>
    <w:uiPriority w:val="99"/>
    <w:semiHidden/>
    <w:unhideWhenUsed/>
    <w:rsid w:val="00A72D78"/>
    <w:rPr>
      <w:sz w:val="16"/>
      <w:szCs w:val="16"/>
    </w:rPr>
  </w:style>
  <w:style w:type="paragraph" w:styleId="a7">
    <w:name w:val="annotation text"/>
    <w:basedOn w:val="a"/>
    <w:link w:val="a8"/>
    <w:uiPriority w:val="99"/>
    <w:unhideWhenUsed/>
    <w:rsid w:val="00A72D78"/>
    <w:pPr>
      <w:spacing w:line="240" w:lineRule="auto"/>
    </w:pPr>
    <w:rPr>
      <w:sz w:val="20"/>
      <w:szCs w:val="20"/>
    </w:rPr>
  </w:style>
  <w:style w:type="character" w:customStyle="1" w:styleId="a8">
    <w:name w:val="טקסט הערה תו"/>
    <w:basedOn w:val="a0"/>
    <w:link w:val="a7"/>
    <w:uiPriority w:val="99"/>
    <w:rsid w:val="00A72D78"/>
    <w:rPr>
      <w:sz w:val="20"/>
      <w:szCs w:val="20"/>
    </w:rPr>
  </w:style>
  <w:style w:type="paragraph" w:styleId="a9">
    <w:name w:val="Balloon Text"/>
    <w:basedOn w:val="a"/>
    <w:link w:val="aa"/>
    <w:uiPriority w:val="99"/>
    <w:semiHidden/>
    <w:unhideWhenUsed/>
    <w:rsid w:val="00A72D78"/>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A72D78"/>
    <w:rPr>
      <w:rFonts w:ascii="Tahoma" w:hAnsi="Tahoma" w:cs="Tahoma"/>
      <w:sz w:val="18"/>
      <w:szCs w:val="18"/>
    </w:rPr>
  </w:style>
  <w:style w:type="paragraph" w:styleId="ab">
    <w:name w:val="annotation subject"/>
    <w:basedOn w:val="a7"/>
    <w:next w:val="a7"/>
    <w:link w:val="ac"/>
    <w:uiPriority w:val="99"/>
    <w:semiHidden/>
    <w:unhideWhenUsed/>
    <w:rsid w:val="00E63522"/>
    <w:rPr>
      <w:b/>
      <w:bCs/>
    </w:rPr>
  </w:style>
  <w:style w:type="character" w:customStyle="1" w:styleId="ac">
    <w:name w:val="נושא הערה תו"/>
    <w:basedOn w:val="a8"/>
    <w:link w:val="ab"/>
    <w:uiPriority w:val="99"/>
    <w:semiHidden/>
    <w:rsid w:val="00E63522"/>
    <w:rPr>
      <w:b/>
      <w:bCs/>
      <w:sz w:val="20"/>
      <w:szCs w:val="20"/>
    </w:rPr>
  </w:style>
  <w:style w:type="paragraph" w:styleId="ad">
    <w:name w:val="header"/>
    <w:basedOn w:val="a"/>
    <w:link w:val="ae"/>
    <w:uiPriority w:val="99"/>
    <w:unhideWhenUsed/>
    <w:rsid w:val="00224053"/>
    <w:pPr>
      <w:tabs>
        <w:tab w:val="center" w:pos="4153"/>
        <w:tab w:val="right" w:pos="8306"/>
      </w:tabs>
      <w:spacing w:after="0" w:line="240" w:lineRule="auto"/>
    </w:pPr>
  </w:style>
  <w:style w:type="character" w:customStyle="1" w:styleId="ae">
    <w:name w:val="כותרת עליונה תו"/>
    <w:basedOn w:val="a0"/>
    <w:link w:val="ad"/>
    <w:uiPriority w:val="99"/>
    <w:rsid w:val="00224053"/>
  </w:style>
  <w:style w:type="paragraph" w:styleId="af">
    <w:name w:val="footer"/>
    <w:basedOn w:val="a"/>
    <w:link w:val="af0"/>
    <w:uiPriority w:val="99"/>
    <w:unhideWhenUsed/>
    <w:rsid w:val="00224053"/>
    <w:pPr>
      <w:tabs>
        <w:tab w:val="center" w:pos="4153"/>
        <w:tab w:val="right" w:pos="8306"/>
      </w:tabs>
      <w:spacing w:after="0" w:line="240" w:lineRule="auto"/>
    </w:pPr>
  </w:style>
  <w:style w:type="character" w:customStyle="1" w:styleId="af0">
    <w:name w:val="כותרת תחתונה תו"/>
    <w:basedOn w:val="a0"/>
    <w:link w:val="af"/>
    <w:uiPriority w:val="99"/>
    <w:rsid w:val="00224053"/>
  </w:style>
  <w:style w:type="character" w:customStyle="1" w:styleId="10">
    <w:name w:val="כותרת 1 תו"/>
    <w:basedOn w:val="a0"/>
    <w:link w:val="1"/>
    <w:uiPriority w:val="9"/>
    <w:rsid w:val="00F422A6"/>
    <w:rPr>
      <w:rFonts w:ascii="David" w:eastAsia="Times New Roman" w:hAnsi="David" w:cs="David"/>
      <w:color w:val="2F5496" w:themeColor="accent1" w:themeShade="BF"/>
      <w:sz w:val="32"/>
      <w:szCs w:val="32"/>
    </w:rPr>
  </w:style>
  <w:style w:type="paragraph" w:styleId="af1">
    <w:name w:val="Revision"/>
    <w:hidden/>
    <w:uiPriority w:val="99"/>
    <w:semiHidden/>
    <w:rsid w:val="00DC1580"/>
    <w:pPr>
      <w:spacing w:after="0" w:line="240" w:lineRule="auto"/>
    </w:pPr>
    <w:rPr>
      <w:rFonts w:ascii="David"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341376">
      <w:bodyDiv w:val="1"/>
      <w:marLeft w:val="0"/>
      <w:marRight w:val="0"/>
      <w:marTop w:val="0"/>
      <w:marBottom w:val="0"/>
      <w:divBdr>
        <w:top w:val="none" w:sz="0" w:space="0" w:color="auto"/>
        <w:left w:val="none" w:sz="0" w:space="0" w:color="auto"/>
        <w:bottom w:val="none" w:sz="0" w:space="0" w:color="auto"/>
        <w:right w:val="none" w:sz="0" w:space="0" w:color="auto"/>
      </w:divBdr>
    </w:div>
    <w:div w:id="152682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D7495-174B-4CAE-84BF-1A3147C6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5237</Words>
  <Characters>26188</Characters>
  <Application>Microsoft Office Word</Application>
  <DocSecurity>0</DocSecurity>
  <Lines>218</Lines>
  <Paragraphs>62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2022-06-18T18:20:00Z</dcterms:created>
  <dcterms:modified xsi:type="dcterms:W3CDTF">2022-06-21T03:10:00Z</dcterms:modified>
</cp:coreProperties>
</file>