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4CC08" w14:textId="77777777" w:rsidR="00B17D18" w:rsidRDefault="00B17D18" w:rsidP="00C10B0A">
      <w:pPr>
        <w:bidi/>
        <w:spacing w:line="480" w:lineRule="auto"/>
        <w:ind w:firstLine="360"/>
        <w:jc w:val="center"/>
        <w:rPr>
          <w:rFonts w:ascii="David" w:hAnsi="David" w:cs="David"/>
          <w:b/>
          <w:bCs/>
          <w:sz w:val="40"/>
          <w:szCs w:val="40"/>
        </w:rPr>
      </w:pPr>
    </w:p>
    <w:p w14:paraId="770ADC38" w14:textId="77777777" w:rsidR="00A8393E" w:rsidRDefault="00A8393E" w:rsidP="00A8393E">
      <w:pPr>
        <w:bidi/>
        <w:spacing w:line="480" w:lineRule="auto"/>
        <w:ind w:firstLine="360"/>
        <w:jc w:val="center"/>
        <w:rPr>
          <w:rFonts w:ascii="David" w:hAnsi="David" w:cs="David"/>
          <w:b/>
          <w:bCs/>
          <w:sz w:val="40"/>
          <w:szCs w:val="40"/>
          <w:rtl/>
        </w:rPr>
      </w:pPr>
    </w:p>
    <w:p w14:paraId="241F63DE" w14:textId="77777777" w:rsidR="00656B40" w:rsidRDefault="00656B40" w:rsidP="007A3EBF">
      <w:pPr>
        <w:pStyle w:val="Standarduser"/>
        <w:bidi/>
        <w:spacing w:line="360" w:lineRule="auto"/>
        <w:ind w:firstLine="708"/>
        <w:jc w:val="center"/>
        <w:rPr>
          <w:rFonts w:ascii="David" w:hAnsi="David" w:cs="David"/>
          <w:b/>
          <w:bCs/>
          <w:sz w:val="28"/>
          <w:szCs w:val="28"/>
          <w:rtl/>
        </w:rPr>
      </w:pPr>
    </w:p>
    <w:p w14:paraId="35757799" w14:textId="77777777" w:rsidR="00656B40" w:rsidRDefault="00656B40" w:rsidP="00656B40">
      <w:pPr>
        <w:pStyle w:val="Standarduser"/>
        <w:bidi/>
        <w:spacing w:line="360" w:lineRule="auto"/>
        <w:ind w:firstLine="708"/>
        <w:jc w:val="center"/>
        <w:rPr>
          <w:rFonts w:ascii="David" w:hAnsi="David" w:cs="David"/>
          <w:b/>
          <w:bCs/>
          <w:sz w:val="28"/>
          <w:szCs w:val="28"/>
          <w:rtl/>
        </w:rPr>
      </w:pPr>
    </w:p>
    <w:p w14:paraId="3EB0BDF4" w14:textId="77777777" w:rsidR="00656B40" w:rsidRDefault="00656B40" w:rsidP="00656B40">
      <w:pPr>
        <w:pStyle w:val="Standarduser"/>
        <w:bidi/>
        <w:spacing w:line="360" w:lineRule="auto"/>
        <w:ind w:firstLine="708"/>
        <w:jc w:val="center"/>
        <w:rPr>
          <w:rFonts w:ascii="David" w:hAnsi="David" w:cs="David"/>
          <w:b/>
          <w:bCs/>
          <w:sz w:val="28"/>
          <w:szCs w:val="28"/>
          <w:rtl/>
        </w:rPr>
      </w:pPr>
    </w:p>
    <w:p w14:paraId="09B1A0A2" w14:textId="77777777" w:rsidR="00656B40" w:rsidRDefault="00656B40" w:rsidP="00656B40">
      <w:pPr>
        <w:pStyle w:val="Standarduser"/>
        <w:bidi/>
        <w:spacing w:line="360" w:lineRule="auto"/>
        <w:ind w:firstLine="708"/>
        <w:jc w:val="center"/>
        <w:rPr>
          <w:rFonts w:ascii="David" w:hAnsi="David" w:cs="David"/>
          <w:b/>
          <w:bCs/>
          <w:sz w:val="28"/>
          <w:szCs w:val="28"/>
          <w:rtl/>
        </w:rPr>
      </w:pPr>
    </w:p>
    <w:p w14:paraId="168AFF8D" w14:textId="77777777" w:rsidR="00656B40" w:rsidRDefault="00656B40" w:rsidP="00656B40">
      <w:pPr>
        <w:pStyle w:val="Standarduser"/>
        <w:bidi/>
        <w:spacing w:line="360" w:lineRule="auto"/>
        <w:ind w:firstLine="708"/>
        <w:jc w:val="center"/>
        <w:rPr>
          <w:rFonts w:ascii="David" w:hAnsi="David" w:cs="David"/>
          <w:b/>
          <w:bCs/>
          <w:sz w:val="28"/>
          <w:szCs w:val="28"/>
          <w:rtl/>
        </w:rPr>
      </w:pPr>
    </w:p>
    <w:p w14:paraId="0D7FE904" w14:textId="77777777" w:rsidR="00656B40" w:rsidRDefault="00656B40" w:rsidP="00656B40">
      <w:pPr>
        <w:pStyle w:val="Standarduser"/>
        <w:bidi/>
        <w:spacing w:line="360" w:lineRule="auto"/>
        <w:ind w:firstLine="708"/>
        <w:jc w:val="center"/>
        <w:rPr>
          <w:rFonts w:ascii="David" w:hAnsi="David" w:cs="David"/>
          <w:b/>
          <w:bCs/>
          <w:sz w:val="28"/>
          <w:szCs w:val="28"/>
          <w:rtl/>
        </w:rPr>
      </w:pPr>
    </w:p>
    <w:p w14:paraId="462D9B3D" w14:textId="77777777" w:rsidR="00656B40" w:rsidRDefault="00656B40" w:rsidP="00656B40">
      <w:pPr>
        <w:pStyle w:val="Standarduser"/>
        <w:bidi/>
        <w:spacing w:line="360" w:lineRule="auto"/>
        <w:ind w:firstLine="708"/>
        <w:jc w:val="center"/>
        <w:rPr>
          <w:rFonts w:ascii="David" w:hAnsi="David" w:cs="David"/>
          <w:b/>
          <w:bCs/>
          <w:sz w:val="28"/>
          <w:szCs w:val="28"/>
          <w:rtl/>
        </w:rPr>
      </w:pPr>
    </w:p>
    <w:p w14:paraId="2029C89B" w14:textId="77777777" w:rsidR="00656B40" w:rsidRDefault="00656B40" w:rsidP="00656B40">
      <w:pPr>
        <w:pStyle w:val="Standarduser"/>
        <w:bidi/>
        <w:spacing w:line="360" w:lineRule="auto"/>
        <w:ind w:firstLine="708"/>
        <w:jc w:val="center"/>
        <w:rPr>
          <w:rFonts w:ascii="David" w:hAnsi="David" w:cs="David"/>
          <w:b/>
          <w:bCs/>
          <w:sz w:val="28"/>
          <w:szCs w:val="28"/>
          <w:rtl/>
        </w:rPr>
      </w:pPr>
    </w:p>
    <w:p w14:paraId="61E56E5C" w14:textId="5EA94E32" w:rsidR="007A3EBF" w:rsidRPr="007A3EBF" w:rsidRDefault="00B17D18" w:rsidP="00656B40">
      <w:pPr>
        <w:pStyle w:val="Standarduser"/>
        <w:bidi/>
        <w:spacing w:line="360" w:lineRule="auto"/>
        <w:ind w:firstLine="708"/>
        <w:jc w:val="center"/>
        <w:rPr>
          <w:rFonts w:ascii="David" w:hAnsi="David" w:cs="David"/>
          <w:b/>
          <w:bCs/>
          <w:sz w:val="28"/>
          <w:szCs w:val="28"/>
          <w:rtl/>
        </w:rPr>
      </w:pPr>
      <w:r w:rsidRPr="00C10B0A">
        <w:rPr>
          <w:rFonts w:ascii="David" w:hAnsi="David" w:cs="David" w:hint="cs"/>
          <w:b/>
          <w:bCs/>
          <w:sz w:val="28"/>
          <w:szCs w:val="28"/>
          <w:rtl/>
        </w:rPr>
        <w:t>תקציר המחקר</w:t>
      </w:r>
      <w:r w:rsidR="007A3EBF" w:rsidRPr="007A3EBF">
        <w:rPr>
          <w:rFonts w:ascii="David" w:hAnsi="David" w:cs="David" w:hint="cs"/>
          <w:b/>
          <w:bCs/>
          <w:sz w:val="28"/>
          <w:szCs w:val="28"/>
          <w:rtl/>
        </w:rPr>
        <w:t>:</w:t>
      </w:r>
    </w:p>
    <w:p w14:paraId="39343EDA" w14:textId="11E07967" w:rsidR="00B17D18" w:rsidRPr="00C10B0A" w:rsidRDefault="00B17D18" w:rsidP="00C10B0A">
      <w:pPr>
        <w:pStyle w:val="Standarduser"/>
        <w:bidi/>
        <w:spacing w:line="360" w:lineRule="auto"/>
        <w:ind w:firstLine="708"/>
        <w:jc w:val="center"/>
        <w:rPr>
          <w:rFonts w:ascii="David" w:hAnsi="David" w:cs="David"/>
          <w:b/>
          <w:bCs/>
          <w:sz w:val="36"/>
          <w:szCs w:val="36"/>
          <w:rtl/>
        </w:rPr>
      </w:pPr>
      <w:r w:rsidRPr="004263EC">
        <w:rPr>
          <w:rFonts w:ascii="David" w:hAnsi="David" w:cs="David" w:hint="cs"/>
          <w:b/>
          <w:bCs/>
          <w:sz w:val="40"/>
          <w:szCs w:val="40"/>
          <w:rtl/>
        </w:rPr>
        <w:t>מעמד העדות ביצירתו של ז</w:t>
      </w:r>
      <w:r w:rsidRPr="00C10B0A">
        <w:rPr>
          <w:rFonts w:ascii="David" w:hAnsi="David" w:cs="David" w:hint="cs"/>
          <w:b/>
          <w:bCs/>
          <w:sz w:val="36"/>
          <w:szCs w:val="36"/>
          <w:rtl/>
        </w:rPr>
        <w:t>׳אן רואו</w:t>
      </w:r>
    </w:p>
    <w:p w14:paraId="3EB8F2AD" w14:textId="77777777" w:rsidR="007A3EBF" w:rsidRPr="007A3EBF" w:rsidRDefault="007A3EBF" w:rsidP="007A3EBF">
      <w:pPr>
        <w:pStyle w:val="Standarduser"/>
        <w:bidi/>
        <w:spacing w:line="360" w:lineRule="auto"/>
        <w:ind w:firstLine="708"/>
        <w:jc w:val="center"/>
        <w:rPr>
          <w:rFonts w:ascii="David" w:hAnsi="David" w:cs="David"/>
          <w:b/>
          <w:bCs/>
          <w:sz w:val="36"/>
          <w:szCs w:val="36"/>
          <w:rtl/>
        </w:rPr>
      </w:pPr>
    </w:p>
    <w:p w14:paraId="5842B8C7" w14:textId="77777777" w:rsidR="007A3EBF" w:rsidRPr="007A3EBF" w:rsidRDefault="007A3EBF" w:rsidP="007A3EBF">
      <w:pPr>
        <w:pStyle w:val="Standarduser"/>
        <w:bidi/>
        <w:spacing w:line="360" w:lineRule="auto"/>
        <w:ind w:firstLine="708"/>
        <w:jc w:val="center"/>
        <w:rPr>
          <w:rFonts w:ascii="David" w:hAnsi="David" w:cs="David"/>
          <w:b/>
          <w:bCs/>
          <w:sz w:val="28"/>
          <w:szCs w:val="28"/>
          <w:rtl/>
        </w:rPr>
      </w:pPr>
      <w:r w:rsidRPr="007A3EBF">
        <w:rPr>
          <w:rFonts w:ascii="David" w:hAnsi="David" w:cs="David"/>
          <w:b/>
          <w:bCs/>
          <w:sz w:val="28"/>
          <w:szCs w:val="28"/>
          <w:rtl/>
        </w:rPr>
        <w:t>מאת הדס זהבי</w:t>
      </w:r>
    </w:p>
    <w:p w14:paraId="12B793A5" w14:textId="77777777" w:rsidR="007A3EBF" w:rsidRDefault="007A3EBF" w:rsidP="007A3EBF">
      <w:pPr>
        <w:pStyle w:val="Standarduser"/>
        <w:bidi/>
        <w:spacing w:line="360" w:lineRule="auto"/>
        <w:ind w:firstLine="708"/>
        <w:jc w:val="center"/>
        <w:rPr>
          <w:rFonts w:ascii="David" w:hAnsi="David" w:cs="David"/>
          <w:b/>
          <w:bCs/>
          <w:rtl/>
        </w:rPr>
      </w:pPr>
    </w:p>
    <w:p w14:paraId="27A7E341" w14:textId="77777777" w:rsidR="007A3EBF" w:rsidRPr="007A3EBF" w:rsidRDefault="007A3EBF" w:rsidP="007A3EBF">
      <w:pPr>
        <w:pStyle w:val="Standarduser"/>
        <w:bidi/>
        <w:spacing w:line="360" w:lineRule="auto"/>
        <w:ind w:firstLine="708"/>
        <w:jc w:val="center"/>
        <w:rPr>
          <w:rFonts w:ascii="David" w:hAnsi="David" w:cs="David"/>
          <w:b/>
          <w:bCs/>
        </w:rPr>
      </w:pPr>
      <w:r w:rsidRPr="007A3EBF">
        <w:rPr>
          <w:rFonts w:ascii="David" w:hAnsi="David" w:cs="David"/>
          <w:b/>
          <w:bCs/>
          <w:rtl/>
        </w:rPr>
        <w:t>מנחים:</w:t>
      </w:r>
    </w:p>
    <w:p w14:paraId="6EC604EF" w14:textId="77777777" w:rsidR="007A3EBF" w:rsidRPr="007A3EBF" w:rsidRDefault="007A3EBF" w:rsidP="007A3EBF">
      <w:pPr>
        <w:pStyle w:val="Standarduser"/>
        <w:bidi/>
        <w:spacing w:line="360" w:lineRule="auto"/>
        <w:ind w:firstLine="708"/>
        <w:jc w:val="center"/>
        <w:rPr>
          <w:rFonts w:ascii="David" w:hAnsi="David" w:cs="David"/>
          <w:b/>
          <w:bCs/>
          <w:sz w:val="28"/>
          <w:szCs w:val="28"/>
        </w:rPr>
      </w:pPr>
      <w:r w:rsidRPr="007A3EBF">
        <w:rPr>
          <w:rFonts w:ascii="David" w:hAnsi="David" w:cs="David"/>
          <w:b/>
          <w:bCs/>
          <w:sz w:val="28"/>
          <w:szCs w:val="28"/>
          <w:rtl/>
        </w:rPr>
        <w:t xml:space="preserve">פרופ׳ מישל בוקובזה </w:t>
      </w:r>
      <w:proofErr w:type="spellStart"/>
      <w:r w:rsidRPr="007A3EBF">
        <w:rPr>
          <w:rFonts w:ascii="David" w:hAnsi="David" w:cs="David"/>
          <w:b/>
          <w:bCs/>
          <w:sz w:val="28"/>
          <w:szCs w:val="28"/>
          <w:rtl/>
        </w:rPr>
        <w:t>קאהן</w:t>
      </w:r>
      <w:proofErr w:type="spellEnd"/>
      <w:r w:rsidRPr="007A3EBF">
        <w:rPr>
          <w:rFonts w:ascii="David" w:hAnsi="David" w:cs="David" w:hint="cs"/>
          <w:b/>
          <w:bCs/>
          <w:sz w:val="28"/>
          <w:szCs w:val="28"/>
          <w:rtl/>
        </w:rPr>
        <w:t xml:space="preserve"> (אוניברסיטת תל-אביב)</w:t>
      </w:r>
    </w:p>
    <w:p w14:paraId="3DB83A3D" w14:textId="77777777" w:rsidR="007A3EBF" w:rsidRPr="007A3EBF" w:rsidRDefault="007A3EBF" w:rsidP="007A3EBF">
      <w:pPr>
        <w:pStyle w:val="Standarduser"/>
        <w:bidi/>
        <w:spacing w:line="360" w:lineRule="auto"/>
        <w:ind w:firstLine="708"/>
        <w:jc w:val="center"/>
        <w:rPr>
          <w:rFonts w:ascii="David" w:hAnsi="David" w:cs="David"/>
          <w:b/>
          <w:bCs/>
          <w:sz w:val="28"/>
          <w:szCs w:val="28"/>
        </w:rPr>
      </w:pPr>
      <w:r w:rsidRPr="007A3EBF">
        <w:rPr>
          <w:rFonts w:ascii="David" w:hAnsi="David" w:cs="David"/>
          <w:b/>
          <w:bCs/>
          <w:sz w:val="28"/>
          <w:szCs w:val="28"/>
          <w:rtl/>
        </w:rPr>
        <w:t>פרופ׳ אלכסנדר גפן</w:t>
      </w:r>
      <w:r w:rsidRPr="007A3EBF">
        <w:rPr>
          <w:rFonts w:ascii="David" w:hAnsi="David" w:cs="David" w:hint="cs"/>
          <w:b/>
          <w:bCs/>
          <w:sz w:val="28"/>
          <w:szCs w:val="28"/>
          <w:rtl/>
        </w:rPr>
        <w:t xml:space="preserve"> (אוניברסיטת סורבון נובל)</w:t>
      </w:r>
    </w:p>
    <w:p w14:paraId="5F9F01E9" w14:textId="77777777" w:rsidR="007A3EBF" w:rsidRDefault="007A3EBF" w:rsidP="007A3EBF">
      <w:pPr>
        <w:pStyle w:val="Standarduser"/>
        <w:bidi/>
        <w:spacing w:line="360" w:lineRule="auto"/>
        <w:ind w:firstLine="708"/>
        <w:jc w:val="center"/>
        <w:rPr>
          <w:rFonts w:ascii="David" w:hAnsi="David" w:cs="David"/>
          <w:b/>
          <w:bCs/>
          <w:rtl/>
        </w:rPr>
      </w:pPr>
    </w:p>
    <w:p w14:paraId="721939FB" w14:textId="77777777" w:rsidR="00041541" w:rsidRPr="007A3EBF" w:rsidRDefault="007A3EBF" w:rsidP="007A3EBF">
      <w:pPr>
        <w:pStyle w:val="Standarduser"/>
        <w:bidi/>
        <w:spacing w:line="360" w:lineRule="auto"/>
        <w:ind w:firstLine="708"/>
        <w:jc w:val="center"/>
        <w:rPr>
          <w:rFonts w:ascii="David" w:hAnsi="David" w:cs="David"/>
          <w:rtl/>
        </w:rPr>
      </w:pPr>
      <w:r w:rsidRPr="007A3EBF">
        <w:rPr>
          <w:rFonts w:ascii="David" w:hAnsi="David" w:cs="David"/>
          <w:b/>
          <w:bCs/>
          <w:rtl/>
        </w:rPr>
        <w:t>פברואר 2023</w:t>
      </w:r>
    </w:p>
    <w:p w14:paraId="4CD2596E" w14:textId="77777777" w:rsidR="00EF52D4" w:rsidRDefault="00EF52D4" w:rsidP="00163464">
      <w:pPr>
        <w:pStyle w:val="Standarduser"/>
        <w:bidi/>
        <w:spacing w:line="480" w:lineRule="auto"/>
        <w:ind w:firstLine="708"/>
        <w:jc w:val="both"/>
        <w:rPr>
          <w:rFonts w:ascii="David" w:hAnsi="David" w:cs="David"/>
          <w:rtl/>
        </w:rPr>
      </w:pPr>
    </w:p>
    <w:p w14:paraId="3CBDA58E" w14:textId="77777777" w:rsidR="007A3EBF" w:rsidRDefault="007A3EBF" w:rsidP="007A3EBF">
      <w:pPr>
        <w:pStyle w:val="Standarduser"/>
        <w:bidi/>
        <w:spacing w:line="480" w:lineRule="auto"/>
        <w:ind w:firstLine="708"/>
        <w:jc w:val="both"/>
        <w:rPr>
          <w:rFonts w:ascii="David" w:hAnsi="David" w:cs="David"/>
          <w:rtl/>
        </w:rPr>
      </w:pPr>
    </w:p>
    <w:p w14:paraId="52851532" w14:textId="77777777" w:rsidR="007A3EBF" w:rsidRPr="002770DF" w:rsidRDefault="007A3EBF" w:rsidP="007A3EBF">
      <w:pPr>
        <w:pStyle w:val="Standarduser"/>
        <w:bidi/>
        <w:spacing w:line="480" w:lineRule="auto"/>
        <w:ind w:firstLine="708"/>
        <w:jc w:val="both"/>
        <w:rPr>
          <w:rFonts w:ascii="David" w:hAnsi="David" w:cs="David"/>
          <w:rtl/>
        </w:rPr>
      </w:pPr>
    </w:p>
    <w:p w14:paraId="76829395" w14:textId="77777777" w:rsidR="00B17D18" w:rsidRPr="002770DF" w:rsidRDefault="00B17D18" w:rsidP="00B17D18">
      <w:pPr>
        <w:pStyle w:val="Standarduser"/>
        <w:bidi/>
        <w:spacing w:line="480" w:lineRule="auto"/>
        <w:ind w:firstLine="708"/>
        <w:jc w:val="both"/>
        <w:rPr>
          <w:rFonts w:ascii="David" w:hAnsi="David" w:cs="David"/>
          <w:rtl/>
        </w:rPr>
      </w:pPr>
    </w:p>
    <w:p w14:paraId="1F68BFD9" w14:textId="77777777" w:rsidR="00656B40" w:rsidRDefault="00656B40" w:rsidP="00B17D18">
      <w:pPr>
        <w:pStyle w:val="Standarduser"/>
        <w:bidi/>
        <w:spacing w:line="480" w:lineRule="auto"/>
        <w:ind w:firstLine="708"/>
        <w:jc w:val="both"/>
        <w:rPr>
          <w:rFonts w:ascii="David" w:hAnsi="David" w:cs="David"/>
          <w:rtl/>
        </w:rPr>
      </w:pPr>
      <w:bookmarkStart w:id="0" w:name="OLE_LINK51"/>
      <w:bookmarkStart w:id="1" w:name="OLE_LINK52"/>
    </w:p>
    <w:p w14:paraId="01B3096E" w14:textId="77777777" w:rsidR="00656B40" w:rsidRDefault="00656B40" w:rsidP="00656B40">
      <w:pPr>
        <w:pStyle w:val="Standarduser"/>
        <w:bidi/>
        <w:spacing w:line="480" w:lineRule="auto"/>
        <w:ind w:firstLine="708"/>
        <w:jc w:val="both"/>
        <w:rPr>
          <w:rFonts w:ascii="David" w:hAnsi="David" w:cs="David"/>
          <w:rtl/>
        </w:rPr>
      </w:pPr>
    </w:p>
    <w:p w14:paraId="75F7F458" w14:textId="77777777" w:rsidR="00656B40" w:rsidRDefault="00656B40" w:rsidP="00656B40">
      <w:pPr>
        <w:pStyle w:val="Standarduser"/>
        <w:bidi/>
        <w:spacing w:line="480" w:lineRule="auto"/>
        <w:ind w:firstLine="708"/>
        <w:jc w:val="both"/>
        <w:rPr>
          <w:rFonts w:ascii="David" w:hAnsi="David" w:cs="David"/>
          <w:rtl/>
        </w:rPr>
      </w:pPr>
    </w:p>
    <w:p w14:paraId="3374BAFC" w14:textId="77777777" w:rsidR="00656B40" w:rsidRDefault="00656B40" w:rsidP="00656B40">
      <w:pPr>
        <w:pStyle w:val="Standarduser"/>
        <w:bidi/>
        <w:spacing w:line="480" w:lineRule="auto"/>
        <w:ind w:firstLine="708"/>
        <w:jc w:val="both"/>
        <w:rPr>
          <w:rFonts w:ascii="David" w:hAnsi="David" w:cs="David"/>
          <w:rtl/>
        </w:rPr>
      </w:pPr>
    </w:p>
    <w:p w14:paraId="658150D7" w14:textId="77777777" w:rsidR="00656B40" w:rsidRDefault="00656B40" w:rsidP="00656B40">
      <w:pPr>
        <w:pStyle w:val="Standarduser"/>
        <w:bidi/>
        <w:spacing w:line="480" w:lineRule="auto"/>
        <w:ind w:firstLine="708"/>
        <w:jc w:val="both"/>
        <w:rPr>
          <w:rFonts w:ascii="David" w:hAnsi="David" w:cs="David"/>
          <w:rtl/>
        </w:rPr>
      </w:pPr>
    </w:p>
    <w:bookmarkEnd w:id="0"/>
    <w:bookmarkEnd w:id="1"/>
    <w:p w14:paraId="04660944" w14:textId="64D9C66C" w:rsidR="00D42125" w:rsidRPr="00D42125" w:rsidRDefault="00D42125" w:rsidP="00D42125">
      <w:pPr>
        <w:pStyle w:val="Standarduser"/>
        <w:bidi/>
        <w:spacing w:before="120" w:line="360" w:lineRule="auto"/>
        <w:ind w:firstLine="708"/>
        <w:jc w:val="both"/>
        <w:rPr>
          <w:rFonts w:ascii="David" w:hAnsi="David" w:cs="David"/>
        </w:rPr>
      </w:pPr>
      <w:r w:rsidRPr="00D42125">
        <w:rPr>
          <w:rFonts w:ascii="David" w:hAnsi="David" w:cs="David"/>
          <w:rtl/>
        </w:rPr>
        <w:lastRenderedPageBreak/>
        <w:t xml:space="preserve">מחקר זה מגדיר מעמד עדות חדש, מאת סופרים עכשוויים </w:t>
      </w:r>
      <w:r>
        <w:rPr>
          <w:rFonts w:ascii="David" w:hAnsi="David" w:cs="David" w:hint="cs"/>
          <w:rtl/>
        </w:rPr>
        <w:t xml:space="preserve">המעידים בגוף ראשון ובזמן הווה על מלחמות בהן לא נכחו. </w:t>
      </w:r>
      <w:r w:rsidRPr="00D42125">
        <w:rPr>
          <w:rFonts w:ascii="David" w:hAnsi="David" w:cs="David"/>
          <w:rtl/>
        </w:rPr>
        <w:t>יוצרים אלו מחוללים תמורה בהיסטורית ספרות העדות המודרנית, המגדירה את הנוכחות במלחמה כתנאי סף למסירת עדות. בלב כתביהם האוטוביוגרפיים, סופרים</w:t>
      </w:r>
      <w:r>
        <w:rPr>
          <w:rFonts w:ascii="David" w:hAnsi="David" w:cs="David" w:hint="cs"/>
          <w:rtl/>
        </w:rPr>
        <w:t xml:space="preserve"> צרפתיים</w:t>
      </w:r>
      <w:r w:rsidRPr="00D42125">
        <w:rPr>
          <w:rFonts w:ascii="David" w:hAnsi="David" w:cs="David"/>
          <w:rtl/>
        </w:rPr>
        <w:t xml:space="preserve"> עכשוויים כדוגמת ז׳אן רואו (</w:t>
      </w:r>
      <w:r w:rsidRPr="00D42125">
        <w:rPr>
          <w:rFonts w:ascii="David" w:hAnsi="David" w:cs="David"/>
        </w:rPr>
        <w:t>Jean Rouaud</w:t>
      </w:r>
      <w:r w:rsidRPr="00D42125">
        <w:rPr>
          <w:rFonts w:ascii="David" w:hAnsi="David" w:cs="David"/>
          <w:rtl/>
        </w:rPr>
        <w:t xml:space="preserve">), ז׳אן איב </w:t>
      </w:r>
      <w:proofErr w:type="spellStart"/>
      <w:r w:rsidRPr="00D42125">
        <w:rPr>
          <w:rFonts w:ascii="David" w:hAnsi="David" w:cs="David"/>
          <w:rtl/>
        </w:rPr>
        <w:t>ז׳ואנה</w:t>
      </w:r>
      <w:proofErr w:type="spellEnd"/>
      <w:r w:rsidRPr="00D42125">
        <w:rPr>
          <w:rFonts w:ascii="David" w:hAnsi="David" w:cs="David"/>
          <w:rtl/>
        </w:rPr>
        <w:t xml:space="preserve"> (</w:t>
      </w:r>
      <w:r w:rsidRPr="00D42125">
        <w:rPr>
          <w:rFonts w:ascii="David" w:hAnsi="David" w:cs="David"/>
        </w:rPr>
        <w:t>Jean-Yves Jouannais</w:t>
      </w:r>
      <w:r w:rsidRPr="00D42125">
        <w:rPr>
          <w:rFonts w:ascii="David" w:hAnsi="David" w:cs="David"/>
          <w:rtl/>
        </w:rPr>
        <w:t xml:space="preserve">), לורן </w:t>
      </w:r>
      <w:proofErr w:type="spellStart"/>
      <w:r w:rsidRPr="00D42125">
        <w:rPr>
          <w:rFonts w:ascii="David" w:hAnsi="David" w:cs="David"/>
          <w:rtl/>
        </w:rPr>
        <w:t>מובינייה</w:t>
      </w:r>
      <w:proofErr w:type="spellEnd"/>
      <w:r w:rsidRPr="00D42125">
        <w:rPr>
          <w:rFonts w:ascii="David" w:hAnsi="David" w:cs="David"/>
          <w:rtl/>
        </w:rPr>
        <w:t xml:space="preserve"> (</w:t>
      </w:r>
      <w:r w:rsidRPr="00D42125">
        <w:rPr>
          <w:rFonts w:ascii="David" w:hAnsi="David" w:cs="David"/>
        </w:rPr>
        <w:t xml:space="preserve">Laurent </w:t>
      </w:r>
      <w:proofErr w:type="spellStart"/>
      <w:r w:rsidRPr="00D42125">
        <w:rPr>
          <w:rFonts w:ascii="David" w:hAnsi="David" w:cs="David"/>
        </w:rPr>
        <w:t>Mauvignier</w:t>
      </w:r>
      <w:proofErr w:type="spellEnd"/>
      <w:r w:rsidRPr="00D42125">
        <w:rPr>
          <w:rFonts w:ascii="David" w:hAnsi="David" w:cs="David"/>
          <w:rtl/>
        </w:rPr>
        <w:t xml:space="preserve">)  </w:t>
      </w:r>
      <w:proofErr w:type="spellStart"/>
      <w:r w:rsidRPr="00D42125">
        <w:rPr>
          <w:rFonts w:ascii="David" w:hAnsi="David" w:cs="David"/>
          <w:rtl/>
        </w:rPr>
        <w:t>ופרנסואה</w:t>
      </w:r>
      <w:proofErr w:type="spellEnd"/>
      <w:r w:rsidRPr="00D42125">
        <w:rPr>
          <w:rFonts w:ascii="David" w:hAnsi="David" w:cs="David"/>
          <w:rtl/>
        </w:rPr>
        <w:t xml:space="preserve"> בו (</w:t>
      </w:r>
      <w:proofErr w:type="spellStart"/>
      <w:r w:rsidRPr="00D42125">
        <w:rPr>
          <w:rFonts w:ascii="David" w:hAnsi="David" w:cs="David"/>
        </w:rPr>
        <w:t>Francois</w:t>
      </w:r>
      <w:proofErr w:type="spellEnd"/>
      <w:r w:rsidRPr="00D42125">
        <w:rPr>
          <w:rFonts w:ascii="David" w:hAnsi="David" w:cs="David"/>
        </w:rPr>
        <w:t xml:space="preserve"> Bon</w:t>
      </w:r>
      <w:r w:rsidRPr="00D42125">
        <w:rPr>
          <w:rFonts w:ascii="David" w:hAnsi="David" w:cs="David"/>
          <w:rtl/>
        </w:rPr>
        <w:t>) מוסרים עדויות ממלחמות בהן הם לא נכחו. בגוף ראשון, בלשון הווה, תוך ירידה לפרטי פרטים, סופרים אלו מעידים על אירועים ממלחמות העולם ומאזורי סכסוך עכשוויים. עבור סופרים אלו, ההשלכות הבין-דוריות של מלחמות העולם ומעורבותה של צרפת במצבי סכסוך בעולם, מסבות אותם לעדים של אותן מלחמות בהן לא נכחו. בניסיון להתחקות אחר היבטיה הספרותיים, האתיים והפוליטיים של מגמה זו, עבודה זו מוקדשת לקריאה רוחבית בקורפוס היצירה של ז׳אן רואו, הסופר החלוצי והמרכזי בסוגה זו. מבעד לניתוח יצירתו של רואו, מחקר זה מתמודד עם שאלה שנותרה מחוץ לשיח העדות: כיצד ניתן להעיד למלחמה שלא נכחנו בה?</w:t>
      </w:r>
    </w:p>
    <w:p w14:paraId="597E2F66" w14:textId="77777777" w:rsidR="00D42125" w:rsidRPr="00D42125" w:rsidRDefault="00D42125" w:rsidP="00D42125">
      <w:pPr>
        <w:pStyle w:val="Standarduser"/>
        <w:bidi/>
        <w:spacing w:before="120" w:line="360" w:lineRule="auto"/>
        <w:ind w:firstLine="708"/>
        <w:jc w:val="both"/>
        <w:rPr>
          <w:rFonts w:ascii="David" w:hAnsi="David" w:cs="David"/>
          <w:rtl/>
        </w:rPr>
      </w:pPr>
      <w:r w:rsidRPr="00D42125">
        <w:rPr>
          <w:rFonts w:ascii="David" w:hAnsi="David" w:cs="David" w:hint="cs"/>
          <w:rtl/>
        </w:rPr>
        <w:t xml:space="preserve">ראשיתה של מגמה זו ברומן ביכוריו של רואו, </w:t>
      </w:r>
      <w:r w:rsidRPr="00D42125">
        <w:rPr>
          <w:rFonts w:ascii="David" w:hAnsi="David" w:cs="David" w:hint="cs"/>
          <w:i/>
          <w:iCs/>
          <w:rtl/>
        </w:rPr>
        <w:t>שדות התהילה</w:t>
      </w:r>
      <w:r w:rsidRPr="00D42125">
        <w:rPr>
          <w:rFonts w:ascii="David" w:hAnsi="David" w:cs="David" w:hint="cs"/>
          <w:rtl/>
        </w:rPr>
        <w:t>, שראה אור בשנת 1990.</w:t>
      </w:r>
      <w:r w:rsidRPr="00D42125">
        <w:rPr>
          <w:rStyle w:val="Appelnotedebasdep"/>
          <w:rFonts w:ascii="David" w:hAnsi="David" w:cs="David"/>
          <w:rtl/>
        </w:rPr>
        <w:footnoteReference w:id="2"/>
      </w:r>
      <w:r w:rsidRPr="00D42125">
        <w:rPr>
          <w:rFonts w:ascii="David" w:hAnsi="David" w:cs="David" w:hint="cs"/>
          <w:rtl/>
        </w:rPr>
        <w:t xml:space="preserve"> רומן זה מגולל במקביל שני סיפורי חיים. מחציתה הראשונה של היצירה מוקדשת לשגרת חייו של המספר בשנות החמישים בעמק </w:t>
      </w:r>
      <w:proofErr w:type="spellStart"/>
      <w:r w:rsidRPr="00D42125">
        <w:rPr>
          <w:rFonts w:ascii="David" w:hAnsi="David" w:cs="David" w:hint="cs"/>
          <w:rtl/>
        </w:rPr>
        <w:t>הלואר</w:t>
      </w:r>
      <w:proofErr w:type="spellEnd"/>
      <w:r w:rsidRPr="00D42125">
        <w:rPr>
          <w:rFonts w:ascii="David" w:hAnsi="David" w:cs="David" w:hint="cs"/>
          <w:rtl/>
        </w:rPr>
        <w:t xml:space="preserve">. העלילה נקטעת במפתיע, כאשר דודתו הדמנטית של המספר מזכירה בחטף את קיומו של אחיה, </w:t>
      </w:r>
      <w:proofErr w:type="spellStart"/>
      <w:r w:rsidRPr="00D42125">
        <w:rPr>
          <w:rFonts w:ascii="David" w:hAnsi="David" w:cs="David" w:hint="cs"/>
          <w:rtl/>
        </w:rPr>
        <w:t>ז׳וזף</w:t>
      </w:r>
      <w:proofErr w:type="spellEnd"/>
      <w:r w:rsidRPr="00D42125">
        <w:rPr>
          <w:rFonts w:ascii="David" w:hAnsi="David" w:cs="David" w:hint="cs"/>
          <w:rtl/>
        </w:rPr>
        <w:t xml:space="preserve"> רואו (</w:t>
      </w:r>
      <w:r w:rsidRPr="00D42125">
        <w:rPr>
          <w:rFonts w:ascii="David" w:hAnsi="David" w:cs="David" w:hint="cs"/>
        </w:rPr>
        <w:t>Joseph Rouaud</w:t>
      </w:r>
      <w:r w:rsidRPr="00D42125">
        <w:rPr>
          <w:rFonts w:ascii="David" w:hAnsi="David" w:cs="David" w:hint="cs"/>
          <w:rtl/>
        </w:rPr>
        <w:t xml:space="preserve">), שקיפח חייו לנגד עיניה כקורבן למתקפת גז במהלך מלחמת העולם הראשונה. עם אזכור שם האח שמותו נכאב בשתיקה לאורך השנים, עלילת הספר סוטה באחת אל מתקפת גז חרדל שהביאה למותו של </w:t>
      </w:r>
      <w:proofErr w:type="spellStart"/>
      <w:r w:rsidRPr="00D42125">
        <w:rPr>
          <w:rFonts w:ascii="David" w:hAnsi="David" w:cs="David" w:hint="cs"/>
          <w:rtl/>
        </w:rPr>
        <w:t>ז׳וזף</w:t>
      </w:r>
      <w:proofErr w:type="spellEnd"/>
      <w:r w:rsidRPr="00D42125">
        <w:rPr>
          <w:rFonts w:ascii="David" w:hAnsi="David" w:cs="David" w:hint="cs"/>
          <w:rtl/>
        </w:rPr>
        <w:t xml:space="preserve">. לאורך עמודים על גבי עמודים, בגוף ראשון ובזמן הווה, נמסר התהליך הגופני והרגשי שעבר על </w:t>
      </w:r>
      <w:proofErr w:type="spellStart"/>
      <w:r w:rsidRPr="00D42125">
        <w:rPr>
          <w:rFonts w:ascii="David" w:hAnsi="David" w:cs="David" w:hint="cs"/>
          <w:rtl/>
        </w:rPr>
        <w:t>ז׳וזף</w:t>
      </w:r>
      <w:proofErr w:type="spellEnd"/>
      <w:r w:rsidRPr="00D42125">
        <w:rPr>
          <w:rFonts w:ascii="David" w:hAnsi="David" w:cs="David" w:hint="cs"/>
          <w:rtl/>
        </w:rPr>
        <w:t xml:space="preserve"> ברגעי גוויעתו האיטית. שתי העלילות המקבילות נמסרות באותה לשון אינטימית ותוך ירידה לפרטי פרטים, כמו רואו וקרוביו חזו מבשרם באיימי המלחמה, שני דורות לאחר שהתרחשה. </w:t>
      </w:r>
    </w:p>
    <w:p w14:paraId="58ED30A6" w14:textId="77777777" w:rsidR="00D42125" w:rsidRPr="00D42125" w:rsidRDefault="00D42125" w:rsidP="00D42125">
      <w:pPr>
        <w:shd w:val="clear" w:color="auto" w:fill="FFFFFF"/>
        <w:bidi/>
        <w:spacing w:before="120" w:line="360" w:lineRule="auto"/>
        <w:ind w:firstLine="720"/>
        <w:jc w:val="both"/>
        <w:rPr>
          <w:rFonts w:ascii="David" w:hAnsi="David" w:cs="David"/>
          <w:rtl/>
        </w:rPr>
      </w:pPr>
      <w:r w:rsidRPr="00D42125">
        <w:rPr>
          <w:rFonts w:ascii="David" w:hAnsi="David" w:cs="David" w:hint="cs"/>
          <w:rtl/>
        </w:rPr>
        <w:t xml:space="preserve">עם צאתו לאור, נעשה </w:t>
      </w:r>
      <w:r w:rsidRPr="00D42125">
        <w:rPr>
          <w:rFonts w:ascii="David" w:hAnsi="David" w:cs="David" w:hint="cs"/>
          <w:i/>
          <w:iCs/>
          <w:rtl/>
        </w:rPr>
        <w:t>שדות התהילה</w:t>
      </w:r>
      <w:r w:rsidRPr="00D42125">
        <w:rPr>
          <w:rFonts w:ascii="David" w:hAnsi="David" w:cs="David" w:hint="cs"/>
          <w:rtl/>
        </w:rPr>
        <w:t xml:space="preserve"> לרב מכר וזיכה את רואו בפרס </w:t>
      </w:r>
      <w:proofErr w:type="spellStart"/>
      <w:r w:rsidRPr="00D42125">
        <w:rPr>
          <w:rFonts w:ascii="David" w:hAnsi="David" w:cs="David" w:hint="cs"/>
          <w:rtl/>
        </w:rPr>
        <w:t>גונקור</w:t>
      </w:r>
      <w:proofErr w:type="spellEnd"/>
      <w:r w:rsidRPr="00D42125">
        <w:rPr>
          <w:rFonts w:ascii="David" w:hAnsi="David" w:cs="David" w:hint="cs"/>
          <w:rtl/>
        </w:rPr>
        <w:t xml:space="preserve"> (</w:t>
      </w:r>
      <w:r w:rsidRPr="00D42125">
        <w:rPr>
          <w:rFonts w:ascii="David" w:hAnsi="David" w:cs="David" w:hint="cs"/>
        </w:rPr>
        <w:t>Goncourt</w:t>
      </w:r>
      <w:r w:rsidRPr="00D42125">
        <w:rPr>
          <w:rFonts w:ascii="David" w:hAnsi="David" w:cs="David" w:hint="cs"/>
          <w:rtl/>
        </w:rPr>
        <w:t xml:space="preserve">). המיזוג בין סיפור ילדותו של רואו שמלחמת העולם הראשונה לא דוברה בה לבין עדותו המושתקת של </w:t>
      </w:r>
      <w:proofErr w:type="spellStart"/>
      <w:r w:rsidRPr="00D42125">
        <w:rPr>
          <w:rFonts w:ascii="David" w:hAnsi="David" w:cs="David" w:hint="cs"/>
          <w:rtl/>
        </w:rPr>
        <w:t>ז׳וזף</w:t>
      </w:r>
      <w:proofErr w:type="spellEnd"/>
      <w:r w:rsidRPr="00D42125">
        <w:rPr>
          <w:rFonts w:ascii="David" w:hAnsi="David" w:cs="David" w:hint="cs"/>
          <w:rtl/>
        </w:rPr>
        <w:t>, שהמלחמה הביאה למותו ועל כן מנעה בעדו להעיד בעצמו על עוולותיה, חשף באופן חסר תקדים</w:t>
      </w:r>
      <w:r w:rsidRPr="00D42125">
        <w:rPr>
          <w:rFonts w:ascii="David" w:hAnsi="David" w:cs="David" w:hint="cs"/>
          <w:color w:val="FF0000"/>
          <w:rtl/>
        </w:rPr>
        <w:t xml:space="preserve"> </w:t>
      </w:r>
      <w:r w:rsidRPr="00D42125">
        <w:rPr>
          <w:rFonts w:ascii="David" w:hAnsi="David" w:cs="David" w:hint="cs"/>
          <w:rtl/>
        </w:rPr>
        <w:t>את הפגיעה הבין דורית שהסבה מלחמת העולם הראשונה לבני הדור השלישי למלחמה. בהשפעת יצירה זו, המחקר ההיסטוריוני על אודות מלחמת העולם הראשונה, שהתמקד עד שנות התשעים בניתוח חומרים ארכיוניים, מכתבי חיילים, יומנים וספרות מלחמה שנכתבה בשנים שעקבו לה, החל בוחן את המציאות העכשווית בצרפת לשם ניתוח השלכותיה.</w:t>
      </w:r>
      <w:r w:rsidRPr="00D42125">
        <w:rPr>
          <w:rStyle w:val="Appelnotedebasdep"/>
          <w:rFonts w:ascii="David" w:hAnsi="David" w:cs="David"/>
          <w:rtl/>
        </w:rPr>
        <w:footnoteReference w:id="3"/>
      </w:r>
      <w:r w:rsidRPr="00D42125">
        <w:rPr>
          <w:rFonts w:ascii="David" w:hAnsi="David" w:cs="David" w:hint="cs"/>
          <w:rtl/>
        </w:rPr>
        <w:t xml:space="preserve"> במקביל, הרומן ״שדות התהילה״ הוביל לפרץ כתיבה ממין חדש על אודות מלחמת העולם הראשונה. כותבים רבים, כדוגמת פייר </w:t>
      </w:r>
      <w:proofErr w:type="spellStart"/>
      <w:r w:rsidRPr="00D42125">
        <w:rPr>
          <w:rFonts w:ascii="David" w:hAnsi="David" w:cs="David" w:hint="cs"/>
          <w:rtl/>
        </w:rPr>
        <w:t>ברגוניו</w:t>
      </w:r>
      <w:proofErr w:type="spellEnd"/>
      <w:r w:rsidRPr="00D42125">
        <w:rPr>
          <w:rFonts w:ascii="David" w:hAnsi="David" w:cs="David" w:hint="cs"/>
          <w:rtl/>
        </w:rPr>
        <w:t xml:space="preserve"> (</w:t>
      </w:r>
      <w:r w:rsidRPr="00D42125">
        <w:rPr>
          <w:rFonts w:ascii="David" w:hAnsi="David" w:cs="David" w:hint="cs"/>
        </w:rPr>
        <w:t xml:space="preserve">Pierre </w:t>
      </w:r>
      <w:proofErr w:type="spellStart"/>
      <w:r w:rsidRPr="00D42125">
        <w:rPr>
          <w:rFonts w:ascii="David" w:hAnsi="David" w:cs="David" w:hint="cs"/>
        </w:rPr>
        <w:t>Bergounioux</w:t>
      </w:r>
      <w:proofErr w:type="spellEnd"/>
      <w:r w:rsidRPr="00D42125">
        <w:rPr>
          <w:rFonts w:ascii="David" w:hAnsi="David" w:cs="David" w:hint="cs"/>
          <w:rtl/>
        </w:rPr>
        <w:t xml:space="preserve">) </w:t>
      </w:r>
      <w:proofErr w:type="spellStart"/>
      <w:r w:rsidRPr="00D42125">
        <w:rPr>
          <w:rFonts w:ascii="David" w:hAnsi="David" w:cs="David" w:hint="cs"/>
          <w:rtl/>
        </w:rPr>
        <w:t>ואנני</w:t>
      </w:r>
      <w:proofErr w:type="spellEnd"/>
      <w:r w:rsidRPr="00D42125">
        <w:rPr>
          <w:rFonts w:ascii="David" w:hAnsi="David" w:cs="David" w:hint="cs"/>
          <w:rtl/>
        </w:rPr>
        <w:t xml:space="preserve"> ארנו (</w:t>
      </w:r>
      <w:r w:rsidRPr="00D42125">
        <w:rPr>
          <w:rFonts w:ascii="David" w:hAnsi="David" w:cs="David" w:hint="cs"/>
        </w:rPr>
        <w:t>Annie Ernaux</w:t>
      </w:r>
      <w:r w:rsidRPr="00D42125">
        <w:rPr>
          <w:rFonts w:ascii="David" w:hAnsi="David" w:cs="David" w:hint="cs"/>
          <w:rtl/>
        </w:rPr>
        <w:t xml:space="preserve">), החלו מחברים יצירות אוטוביוגרפיות החורגות מסיפור חייהם אל קורותיהם של בני משפחותיהם במהלך המלחמה. השתיקה, פערי הידע והניסיונות המתמידים לשחזר את איימי המלחמה, שבו ועלו בכתבים אלו. בעוד ששדות המחקר הספרותי וההיסטוריוני הכירו בערכה של יצירתו להבנת ההשלכות הבין דוריות של מלחמות היסטוריות, התאוריה הקיימת הנוגעת לספרות בין דורית עכשווית ככלל וליצירתו של רואו בפרט, יוצרת חציצה בין חלקי היצירה המוקדשים לחייו של המחבר ומאופיינים </w:t>
      </w:r>
      <w:proofErr w:type="spellStart"/>
      <w:r w:rsidRPr="00D42125">
        <w:rPr>
          <w:rFonts w:ascii="David" w:hAnsi="David" w:cs="David" w:hint="cs"/>
          <w:rtl/>
        </w:rPr>
        <w:t>כ״אוטוביוגרפיים</w:t>
      </w:r>
      <w:proofErr w:type="spellEnd"/>
      <w:r w:rsidRPr="00D42125">
        <w:rPr>
          <w:rFonts w:ascii="David" w:hAnsi="David" w:cs="David" w:hint="cs"/>
          <w:rtl/>
        </w:rPr>
        <w:t>״ לבין הקטעים הנוגעים לאירועים בהם המחבר אינו נכח, המוגדרים כבדיוניים״. כך לדוגמה, אדמונד סמית׳ (</w:t>
      </w:r>
      <w:r w:rsidRPr="00D42125">
        <w:rPr>
          <w:rFonts w:ascii="David" w:hAnsi="David" w:cs="David" w:hint="cs"/>
          <w:color w:val="000000"/>
          <w:shd w:val="clear" w:color="auto" w:fill="FFFFFF"/>
        </w:rPr>
        <w:t>Edmund</w:t>
      </w:r>
      <w:r w:rsidRPr="00D42125">
        <w:rPr>
          <w:rFonts w:ascii="David" w:hAnsi="David" w:cs="David" w:hint="cs"/>
        </w:rPr>
        <w:t xml:space="preserve"> </w:t>
      </w:r>
      <w:proofErr w:type="spellStart"/>
      <w:r w:rsidRPr="00D42125">
        <w:rPr>
          <w:rFonts w:ascii="David" w:hAnsi="David" w:cs="David" w:hint="cs"/>
        </w:rPr>
        <w:t>Smyth</w:t>
      </w:r>
      <w:proofErr w:type="spellEnd"/>
      <w:r w:rsidRPr="00D42125">
        <w:rPr>
          <w:rFonts w:ascii="David" w:hAnsi="David" w:cs="David" w:hint="cs"/>
          <w:rtl/>
        </w:rPr>
        <w:t xml:space="preserve">) מגדיר את </w:t>
      </w:r>
      <w:r w:rsidRPr="00D42125">
        <w:rPr>
          <w:rFonts w:ascii="David" w:hAnsi="David" w:cs="David" w:hint="cs"/>
          <w:i/>
          <w:iCs/>
          <w:rtl/>
        </w:rPr>
        <w:t>שדות התהילה</w:t>
      </w:r>
      <w:r w:rsidRPr="00D42125">
        <w:rPr>
          <w:rFonts w:ascii="David" w:hAnsi="David" w:cs="David" w:hint="cs"/>
          <w:rtl/>
        </w:rPr>
        <w:t xml:space="preserve"> כרומן בדיוני אופייני לספרות הפיקציה הצרפתית העכשווית, </w:t>
      </w:r>
      <w:r w:rsidRPr="00D42125">
        <w:rPr>
          <w:rFonts w:ascii="David" w:hAnsi="David" w:cs="David" w:hint="cs"/>
          <w:rtl/>
        </w:rPr>
        <w:lastRenderedPageBreak/>
        <w:t xml:space="preserve">בו קיימת זיקה בין האינדיבידואל לבין מחשבת ההיסטוריה. </w:t>
      </w:r>
      <w:r w:rsidRPr="00D42125">
        <w:rPr>
          <w:rStyle w:val="Appelnotedebasdep"/>
          <w:rFonts w:ascii="David" w:hAnsi="David" w:cs="David" w:hint="cs"/>
        </w:rPr>
        <w:footnoteReference w:id="4"/>
      </w:r>
      <w:r w:rsidRPr="00D42125">
        <w:rPr>
          <w:rFonts w:ascii="David" w:hAnsi="David" w:cs="David" w:hint="cs"/>
          <w:rtl/>
        </w:rPr>
        <w:t xml:space="preserve"> </w:t>
      </w:r>
      <w:proofErr w:type="spellStart"/>
      <w:r w:rsidRPr="00D42125">
        <w:rPr>
          <w:rFonts w:ascii="David" w:hAnsi="David" w:cs="David" w:hint="cs"/>
          <w:rtl/>
        </w:rPr>
        <w:t>סילבי</w:t>
      </w:r>
      <w:proofErr w:type="spellEnd"/>
      <w:r w:rsidRPr="00D42125">
        <w:rPr>
          <w:rFonts w:ascii="David" w:hAnsi="David" w:cs="David" w:hint="cs"/>
          <w:rtl/>
        </w:rPr>
        <w:t xml:space="preserve"> </w:t>
      </w:r>
      <w:proofErr w:type="spellStart"/>
      <w:r w:rsidRPr="00D42125">
        <w:rPr>
          <w:rFonts w:ascii="David" w:hAnsi="David" w:cs="David" w:hint="cs"/>
          <w:rtl/>
        </w:rPr>
        <w:t>דיקה</w:t>
      </w:r>
      <w:proofErr w:type="spellEnd"/>
      <w:r w:rsidRPr="00D42125">
        <w:rPr>
          <w:rFonts w:ascii="David" w:hAnsi="David" w:cs="David" w:hint="cs"/>
          <w:rtl/>
        </w:rPr>
        <w:t xml:space="preserve"> (</w:t>
      </w:r>
      <w:r w:rsidRPr="00D42125">
        <w:rPr>
          <w:rFonts w:ascii="David" w:hAnsi="David" w:cs="David" w:hint="cs"/>
        </w:rPr>
        <w:t xml:space="preserve">Sylvie </w:t>
      </w:r>
      <w:proofErr w:type="spellStart"/>
      <w:r w:rsidRPr="00D42125">
        <w:rPr>
          <w:rFonts w:ascii="David" w:hAnsi="David" w:cs="David" w:hint="cs"/>
        </w:rPr>
        <w:t>Ducas</w:t>
      </w:r>
      <w:proofErr w:type="spellEnd"/>
      <w:r w:rsidRPr="00D42125">
        <w:rPr>
          <w:rFonts w:ascii="David" w:hAnsi="David" w:cs="David" w:hint="cs"/>
          <w:rtl/>
        </w:rPr>
        <w:t>) מגדירה את קורפוס היצירה של רואו כספרות הנעה בין אוטוביוגרפיה לבדיון: לעיתים מדובר באוטוביוגרפיה המופרית על ידי הדמיון ולעיתים, בספרות בדיונית בה שזורים מקורות ארכיוניים.</w:t>
      </w:r>
      <w:r w:rsidRPr="00D42125">
        <w:rPr>
          <w:rStyle w:val="Appelnotedebasdep"/>
          <w:rFonts w:ascii="David" w:hAnsi="David" w:cs="David" w:hint="cs"/>
        </w:rPr>
        <w:footnoteReference w:id="5"/>
      </w:r>
      <w:r w:rsidRPr="00D42125">
        <w:rPr>
          <w:rFonts w:ascii="David" w:hAnsi="David" w:cs="David" w:hint="cs"/>
          <w:rtl/>
        </w:rPr>
        <w:t xml:space="preserve"> על פי </w:t>
      </w:r>
      <w:proofErr w:type="spellStart"/>
      <w:r w:rsidRPr="00D42125">
        <w:rPr>
          <w:rFonts w:ascii="David" w:hAnsi="David" w:cs="David" w:hint="cs"/>
          <w:rtl/>
        </w:rPr>
        <w:t>ז׳בנאייב</w:t>
      </w:r>
      <w:proofErr w:type="spellEnd"/>
      <w:r w:rsidRPr="00D42125">
        <w:rPr>
          <w:rFonts w:ascii="David" w:hAnsi="David" w:cs="David" w:hint="cs"/>
          <w:rtl/>
        </w:rPr>
        <w:t xml:space="preserve"> </w:t>
      </w:r>
      <w:proofErr w:type="spellStart"/>
      <w:r w:rsidRPr="00D42125">
        <w:rPr>
          <w:rFonts w:ascii="David" w:hAnsi="David" w:cs="David" w:hint="cs"/>
          <w:rtl/>
        </w:rPr>
        <w:t>סלבן</w:t>
      </w:r>
      <w:proofErr w:type="spellEnd"/>
      <w:r w:rsidRPr="00D42125">
        <w:rPr>
          <w:rFonts w:ascii="David" w:hAnsi="David" w:cs="David" w:hint="cs"/>
          <w:rtl/>
        </w:rPr>
        <w:t xml:space="preserve"> (</w:t>
      </w:r>
      <w:r w:rsidRPr="00D42125">
        <w:rPr>
          <w:rFonts w:ascii="David" w:hAnsi="David" w:cs="David" w:hint="cs"/>
        </w:rPr>
        <w:t xml:space="preserve">Geneviève </w:t>
      </w:r>
      <w:proofErr w:type="spellStart"/>
      <w:r w:rsidRPr="00D42125">
        <w:rPr>
          <w:rFonts w:ascii="David" w:hAnsi="David" w:cs="David" w:hint="cs"/>
        </w:rPr>
        <w:t>Salvan</w:t>
      </w:r>
      <w:proofErr w:type="spellEnd"/>
      <w:r w:rsidRPr="00D42125">
        <w:rPr>
          <w:rFonts w:ascii="David" w:hAnsi="David" w:cs="David" w:hint="cs"/>
          <w:rtl/>
        </w:rPr>
        <w:t>), כתביו של רואו ממזגים בין כתיבה אוטוביוגרפית לבין בדיון, הנוגע לאירועים בהם המחבר לא נכח.</w:t>
      </w:r>
      <w:r w:rsidRPr="00D42125">
        <w:rPr>
          <w:rStyle w:val="Appelnotedebasdep"/>
          <w:rFonts w:ascii="David" w:hAnsi="David" w:cs="David" w:hint="cs"/>
        </w:rPr>
        <w:t xml:space="preserve"> </w:t>
      </w:r>
      <w:r w:rsidRPr="00D42125">
        <w:rPr>
          <w:rStyle w:val="Appelnotedebasdep"/>
          <w:rFonts w:ascii="David" w:hAnsi="David" w:cs="David" w:hint="cs"/>
        </w:rPr>
        <w:footnoteReference w:id="6"/>
      </w:r>
    </w:p>
    <w:p w14:paraId="1E702CEB" w14:textId="77777777" w:rsidR="00D42125" w:rsidRPr="00D42125" w:rsidRDefault="00D42125" w:rsidP="00D42125">
      <w:pPr>
        <w:shd w:val="clear" w:color="auto" w:fill="FFFFFF"/>
        <w:bidi/>
        <w:spacing w:before="120" w:line="360" w:lineRule="auto"/>
        <w:ind w:firstLine="720"/>
        <w:jc w:val="both"/>
        <w:rPr>
          <w:rFonts w:ascii="David" w:hAnsi="David" w:cs="David"/>
          <w:lang w:val="en-US"/>
        </w:rPr>
      </w:pPr>
      <w:r w:rsidRPr="00D42125">
        <w:rPr>
          <w:rFonts w:ascii="David" w:hAnsi="David" w:cs="David" w:hint="cs"/>
          <w:rtl/>
        </w:rPr>
        <w:t>ואולם, רואו, כמו כותבים אחרים בני זמננו, שב ומגדיר עצמו לאורך עשרת הכרכים של יצירתו בעלת הסממנים האוטוביוגרפיים כעד ישיר של המלחמה, תוך שהוא שולל את קיומו של אותו פער שמגדירה התאוריה בין כתיבתו על אירועים שחווה לקטעים הנוגעים למלחמות שלא נכח בהן:</w:t>
      </w:r>
      <w:r w:rsidRPr="00D42125">
        <w:rPr>
          <w:rFonts w:ascii="David" w:hAnsi="David" w:cs="David" w:hint="cs"/>
          <w:rtl/>
        </w:rPr>
        <w:tab/>
      </w:r>
    </w:p>
    <w:p w14:paraId="5077FA54" w14:textId="77777777" w:rsidR="00D42125" w:rsidRPr="00D42125" w:rsidRDefault="00D42125" w:rsidP="00D42125">
      <w:pPr>
        <w:bidi/>
        <w:spacing w:before="120" w:after="240" w:line="360" w:lineRule="auto"/>
        <w:ind w:left="360"/>
        <w:jc w:val="both"/>
        <w:rPr>
          <w:rFonts w:ascii="David" w:hAnsi="David" w:cs="David"/>
        </w:rPr>
      </w:pPr>
      <w:r w:rsidRPr="00D42125">
        <w:rPr>
          <w:rFonts w:ascii="David" w:hAnsi="David" w:cs="David" w:hint="cs"/>
          <w:rtl/>
        </w:rPr>
        <w:t xml:space="preserve">זהו החוש השישי של הכתוב שהוביל אותי למשל אל תוך שוחות מלחמת העולם הראשונה, למרות שלא נראה שהיה לי מה לחפש שם שחיברתי את סיפור הילדות שלי. אולם באחת, לא יכולתי למחות עוד. </w:t>
      </w:r>
      <w:r w:rsidRPr="00D42125">
        <w:rPr>
          <w:rFonts w:ascii="David" w:hAnsi="David" w:cs="David" w:hint="cs"/>
          <w:b/>
          <w:bCs/>
          <w:rtl/>
        </w:rPr>
        <w:t>כחייל קטן ואמיץ שירתי במלחמתי שלי, יצאתי אל החזית, צללתי אל תוך גז החרדל</w:t>
      </w:r>
      <w:r w:rsidRPr="00D42125">
        <w:rPr>
          <w:rFonts w:ascii="David" w:hAnsi="David" w:cs="David" w:hint="cs"/>
          <w:rtl/>
        </w:rPr>
        <w:t>.</w:t>
      </w:r>
    </w:p>
    <w:p w14:paraId="25CB42E2" w14:textId="77777777" w:rsidR="00D42125" w:rsidRPr="00D42125" w:rsidRDefault="00D42125" w:rsidP="00D42125">
      <w:pPr>
        <w:spacing w:before="120" w:after="240" w:line="360" w:lineRule="auto"/>
        <w:ind w:left="360"/>
        <w:jc w:val="both"/>
        <w:rPr>
          <w:rFonts w:asciiTheme="majorBidi" w:hAnsiTheme="majorBidi" w:cstheme="majorBidi"/>
          <w:rtl/>
        </w:rPr>
      </w:pPr>
      <w:r w:rsidRPr="00D42125">
        <w:rPr>
          <w:rFonts w:asciiTheme="majorBidi" w:hAnsiTheme="majorBidi" w:cstheme="majorBidi"/>
        </w:rPr>
        <w:t>Ce sixième sens du texte, c’est lui, par exemple, qui m’a conduit dans les tranchées de Quatorze, alors qu’écrivant un récit d’enfance je n’avais apparemment rien à y faire. Mais sur le coup je n’ai pas protesté, en vaillant petit soldat j’ai fait ma guerre, je suis monté au front, je me suis plongé dans les gaz asphyxiants.</w:t>
      </w:r>
      <w:r w:rsidRPr="00D42125">
        <w:rPr>
          <w:rStyle w:val="Appelnotedebasdep"/>
          <w:rFonts w:asciiTheme="majorBidi" w:hAnsiTheme="majorBidi" w:cstheme="majorBidi"/>
        </w:rPr>
        <w:footnoteReference w:id="7"/>
      </w:r>
      <w:r w:rsidRPr="00D42125">
        <w:rPr>
          <w:rFonts w:asciiTheme="majorBidi" w:hAnsiTheme="majorBidi" w:cstheme="majorBidi"/>
        </w:rPr>
        <w:t xml:space="preserve"> </w:t>
      </w:r>
    </w:p>
    <w:p w14:paraId="01D18DD4" w14:textId="77777777" w:rsidR="00D42125" w:rsidRPr="00D42125" w:rsidRDefault="00D42125" w:rsidP="00D42125">
      <w:pPr>
        <w:bidi/>
        <w:spacing w:before="120" w:after="240" w:line="360" w:lineRule="auto"/>
        <w:ind w:firstLine="360"/>
        <w:jc w:val="both"/>
        <w:rPr>
          <w:rFonts w:ascii="David" w:hAnsi="David" w:cs="David"/>
        </w:rPr>
      </w:pPr>
      <w:r w:rsidRPr="00D42125">
        <w:rPr>
          <w:rFonts w:ascii="David" w:hAnsi="David" w:cs="David" w:hint="cs"/>
          <w:rtl/>
        </w:rPr>
        <w:t xml:space="preserve">אם לא רואים אותי בטקסט שלי, זה משום </w:t>
      </w:r>
      <w:r w:rsidRPr="00D42125">
        <w:rPr>
          <w:rFonts w:ascii="David" w:hAnsi="David" w:cs="David" w:hint="cs"/>
          <w:b/>
          <w:bCs/>
          <w:rtl/>
        </w:rPr>
        <w:t>שהייתי עד אמתי</w:t>
      </w:r>
      <w:r w:rsidRPr="00D42125">
        <w:rPr>
          <w:rFonts w:ascii="David" w:hAnsi="David" w:cs="David" w:hint="cs"/>
          <w:rtl/>
        </w:rPr>
        <w:t>, לא צלם של סרט קולנוע.</w:t>
      </w:r>
    </w:p>
    <w:p w14:paraId="5F3ABA8E" w14:textId="77777777" w:rsidR="00D42125" w:rsidRPr="00D42125" w:rsidRDefault="00D42125" w:rsidP="00D42125">
      <w:pPr>
        <w:spacing w:before="120" w:after="240" w:line="360" w:lineRule="auto"/>
        <w:ind w:left="360"/>
        <w:jc w:val="both"/>
        <w:rPr>
          <w:rFonts w:asciiTheme="majorBidi" w:hAnsiTheme="majorBidi" w:cstheme="majorBidi"/>
          <w:rtl/>
        </w:rPr>
      </w:pPr>
      <w:r w:rsidRPr="00D42125">
        <w:rPr>
          <w:rFonts w:asciiTheme="majorBidi" w:hAnsiTheme="majorBidi" w:cstheme="majorBidi"/>
        </w:rPr>
        <w:t xml:space="preserve">Si on ne me voyait pas dans mon texte c’est que j’étais un vrai témoin, pas un cameraman de cinéma. </w:t>
      </w:r>
      <w:r w:rsidRPr="00D42125">
        <w:rPr>
          <w:rStyle w:val="Appelnotedebasdep"/>
          <w:rFonts w:asciiTheme="majorBidi" w:hAnsiTheme="majorBidi" w:cstheme="majorBidi"/>
        </w:rPr>
        <w:footnoteReference w:id="8"/>
      </w:r>
    </w:p>
    <w:p w14:paraId="6B13D0CC" w14:textId="77777777" w:rsidR="00D42125" w:rsidRPr="00D42125" w:rsidRDefault="00D42125" w:rsidP="00D42125">
      <w:pPr>
        <w:bidi/>
        <w:spacing w:before="120" w:after="240" w:line="360" w:lineRule="auto"/>
        <w:ind w:left="360"/>
        <w:jc w:val="both"/>
        <w:rPr>
          <w:rFonts w:ascii="David" w:hAnsi="David" w:cs="David"/>
        </w:rPr>
      </w:pPr>
      <w:r w:rsidRPr="00D42125">
        <w:rPr>
          <w:rFonts w:ascii="David" w:hAnsi="David" w:cs="David" w:hint="cs"/>
          <w:rtl/>
        </w:rPr>
        <w:t xml:space="preserve">במשך שנים רבות, הקדשתי את עצמי לעיצוב עיטור החללים שלי, לכתיבת סיפור האגדה של גיבורי התהילה שלי. עשיתי מעצמי את </w:t>
      </w:r>
      <w:r w:rsidRPr="00D42125">
        <w:rPr>
          <w:rFonts w:ascii="David" w:hAnsi="David" w:cs="David" w:hint="cs"/>
          <w:b/>
          <w:bCs/>
          <w:rtl/>
        </w:rPr>
        <w:t>אחרון הניצולים שמתו למען צרפת</w:t>
      </w:r>
      <w:r w:rsidRPr="00D42125">
        <w:rPr>
          <w:rFonts w:ascii="David" w:hAnsi="David" w:cs="David" w:hint="cs"/>
          <w:rtl/>
        </w:rPr>
        <w:t>.</w:t>
      </w:r>
    </w:p>
    <w:p w14:paraId="723E1293" w14:textId="77777777" w:rsidR="00D42125" w:rsidRPr="00D42125" w:rsidRDefault="00D42125" w:rsidP="00D42125">
      <w:pPr>
        <w:spacing w:before="120" w:after="240" w:line="360" w:lineRule="auto"/>
        <w:ind w:left="360"/>
        <w:jc w:val="both"/>
        <w:rPr>
          <w:rFonts w:asciiTheme="majorBidi" w:hAnsiTheme="majorBidi" w:cstheme="majorBidi"/>
          <w:rtl/>
        </w:rPr>
      </w:pPr>
      <w:r w:rsidRPr="00D42125">
        <w:rPr>
          <w:rFonts w:asciiTheme="majorBidi" w:hAnsiTheme="majorBidi" w:cstheme="majorBidi"/>
        </w:rPr>
        <w:t>Plusieurs années durant, je me suis appliqué à composer le blason de mes disparus, à écrire la légende dorée de mes vaillants. Faisant ainsi de moi le dernier des survivants morts pour la France.</w:t>
      </w:r>
      <w:r w:rsidRPr="00D42125">
        <w:rPr>
          <w:rStyle w:val="Appelnotedebasdep"/>
          <w:rFonts w:asciiTheme="majorBidi" w:hAnsiTheme="majorBidi" w:cstheme="majorBidi"/>
        </w:rPr>
        <w:footnoteReference w:id="9"/>
      </w:r>
    </w:p>
    <w:p w14:paraId="525B83F8" w14:textId="77777777" w:rsidR="00D42125" w:rsidRPr="00D42125" w:rsidRDefault="00D42125" w:rsidP="00D42125">
      <w:pPr>
        <w:bidi/>
        <w:spacing w:before="120" w:line="360" w:lineRule="auto"/>
        <w:jc w:val="both"/>
        <w:rPr>
          <w:rFonts w:ascii="David" w:hAnsi="David" w:cs="David"/>
          <w:rtl/>
        </w:rPr>
      </w:pPr>
      <w:r w:rsidRPr="00D42125">
        <w:rPr>
          <w:rFonts w:ascii="David" w:hAnsi="David" w:cs="David" w:hint="cs"/>
          <w:rtl/>
        </w:rPr>
        <w:t xml:space="preserve">כעד ישיר של המלחמה, המספר מכריז שיצא אל החזית, שירד אל השוחות וששרד מתקפת גז. זאת אף על פי שבפועל, הוא נולד עשרות שנים לאחר מתקפות הגז בשוחות של מלחמת העולם הראשונה. חוויות אלו, לדבריו, העניקו לו את הסמכות להעיד כלוחם למוד קרבות, מבלי שינכח גופא במלחמה. לאור הגדרה עצמית זו של רואו כעד מלחמה, מחקר זה מבקש להשהות את הגדרת הקטעים המוקדשים לאירועי המלחמה </w:t>
      </w:r>
      <w:r w:rsidRPr="00D42125">
        <w:rPr>
          <w:rFonts w:ascii="David" w:hAnsi="David" w:cs="David" w:hint="cs"/>
          <w:rtl/>
        </w:rPr>
        <w:lastRenderedPageBreak/>
        <w:t xml:space="preserve">כבדיוניים ולהבין איזו הבניית יחסים בין מצבי מלחמה ושלום מתירה </w:t>
      </w:r>
      <w:proofErr w:type="spellStart"/>
      <w:r w:rsidRPr="00D42125">
        <w:rPr>
          <w:rFonts w:ascii="David" w:hAnsi="David" w:cs="David" w:hint="cs"/>
          <w:rtl/>
        </w:rPr>
        <w:t>לרואו</w:t>
      </w:r>
      <w:proofErr w:type="spellEnd"/>
      <w:r w:rsidRPr="00D42125">
        <w:rPr>
          <w:rFonts w:ascii="David" w:hAnsi="David" w:cs="David" w:hint="cs"/>
          <w:rtl/>
        </w:rPr>
        <w:t xml:space="preserve"> להגדיר עצמו כעד מלחמה ומהו הערך שלה להבנה המציאות הפוליטית העכשווית וההיסטורית.</w:t>
      </w:r>
    </w:p>
    <w:p w14:paraId="1BE29098" w14:textId="77777777" w:rsidR="00D42125" w:rsidRPr="00D42125" w:rsidRDefault="00D42125" w:rsidP="00D42125">
      <w:pPr>
        <w:bidi/>
        <w:spacing w:before="120" w:line="360" w:lineRule="auto"/>
        <w:ind w:firstLine="360"/>
        <w:jc w:val="both"/>
        <w:rPr>
          <w:rFonts w:ascii="David" w:hAnsi="David" w:cs="David"/>
          <w:rtl/>
        </w:rPr>
      </w:pPr>
      <w:r w:rsidRPr="00D42125">
        <w:rPr>
          <w:rFonts w:ascii="David" w:hAnsi="David" w:cs="David" w:hint="cs"/>
          <w:rtl/>
        </w:rPr>
        <w:t xml:space="preserve"> לשם כך, עבודה זו קושרת בין הגדרתו העצמית של רואו כעד מלחמה בימי שלום בכתביו האוטוביוגרפיים, לבין כתיבתו הפוליטית הנוגעת להבניית השלום והמלחמה בעת הנוכחית.</w:t>
      </w:r>
      <w:r w:rsidRPr="00D42125">
        <w:rPr>
          <w:rFonts w:ascii="David" w:hAnsi="David" w:cs="David" w:hint="cs"/>
        </w:rPr>
        <w:t xml:space="preserve"> </w:t>
      </w:r>
      <w:r w:rsidRPr="00D42125">
        <w:rPr>
          <w:rFonts w:ascii="David" w:hAnsi="David" w:cs="David" w:hint="cs"/>
          <w:rtl/>
        </w:rPr>
        <w:t>בכתביו הפוליטיים, מהן התאוריה הנוגעת ליצירתו מתעלמת על פי רוב, רואו טוען תדירות שהמלחמה ממשיכה להתקיים במערב כיום:</w:t>
      </w:r>
    </w:p>
    <w:p w14:paraId="5DD1E657" w14:textId="77777777" w:rsidR="00D42125" w:rsidRPr="00D42125" w:rsidRDefault="00D42125" w:rsidP="00D42125">
      <w:pPr>
        <w:bidi/>
        <w:spacing w:before="120" w:line="360" w:lineRule="auto"/>
        <w:ind w:left="709"/>
        <w:jc w:val="both"/>
        <w:rPr>
          <w:rFonts w:ascii="David" w:hAnsi="David" w:cs="David"/>
        </w:rPr>
      </w:pPr>
      <w:r w:rsidRPr="00D42125">
        <w:rPr>
          <w:rFonts w:ascii="David" w:hAnsi="David" w:cs="David" w:hint="cs"/>
          <w:rtl/>
        </w:rPr>
        <w:t>המלחמה אינה פוסקת לעולם. כשאנו מורים לה ״עצרי!״, כשאנחנו חותמים על הסכם שלום, היא נערכת מחדש וממשיכה להתקיים באמצעים אחרים. משום שהמלחמה, יהיה מטופש מדי להימנע ממנה, היא פיצוץ של חוכמה ושל חדשנות. כשאנו מבקשים מהם לבטוש את רעיהם, המוחות קודחים. (...) אלפי קורבנות נופלים במעין שלום-ומלחמה, עבורם לעולם לא נקים יד לזכר הנופלים. (...)בימי שלום, הכרזנו על מלחמה מול האדמה, מול הקרקע, כשהחרבנו אותן</w:t>
      </w:r>
      <w:r w:rsidRPr="00D42125">
        <w:rPr>
          <w:rFonts w:ascii="David" w:hAnsi="David" w:cs="David" w:hint="cs"/>
        </w:rPr>
        <w:t>,</w:t>
      </w:r>
      <w:r w:rsidRPr="00D42125">
        <w:rPr>
          <w:rFonts w:ascii="David" w:hAnsi="David" w:cs="David" w:hint="cs"/>
          <w:rtl/>
        </w:rPr>
        <w:t xml:space="preserve"> כשהרגנו מיקרואורגניזמים ותולעי אדמה, כשהנדסנו תגובות שרשרת לתאים שלנו, אותם דוקטור באייר העמיד פנים שהוא מרפא. חומר הנפץ הוצג כהמצאה המיטיבה עם האנושות, אנו מכירים את נאומו של מושל ביקיני, שגרם לתושבי </w:t>
      </w:r>
      <w:proofErr w:type="spellStart"/>
      <w:r w:rsidRPr="00D42125">
        <w:rPr>
          <w:rFonts w:ascii="David" w:hAnsi="David" w:cs="David" w:hint="cs"/>
          <w:rtl/>
        </w:rPr>
        <w:t>אתול</w:t>
      </w:r>
      <w:proofErr w:type="spellEnd"/>
      <w:r w:rsidRPr="00D42125">
        <w:rPr>
          <w:rFonts w:ascii="David" w:hAnsi="David" w:cs="David" w:hint="cs"/>
          <w:rtl/>
        </w:rPr>
        <w:t xml:space="preserve"> להאמין בסגולות שיעניק הנשק הגרעיני לכל באי עולם. </w:t>
      </w:r>
    </w:p>
    <w:p w14:paraId="587E909D" w14:textId="77777777" w:rsidR="00D42125" w:rsidRPr="00D42125" w:rsidRDefault="00D42125" w:rsidP="00D42125">
      <w:pPr>
        <w:spacing w:before="120" w:line="360" w:lineRule="auto"/>
        <w:ind w:left="709"/>
        <w:jc w:val="both"/>
        <w:rPr>
          <w:rFonts w:asciiTheme="majorBidi" w:hAnsiTheme="majorBidi" w:cstheme="majorBidi"/>
        </w:rPr>
      </w:pPr>
      <w:r w:rsidRPr="00D42125">
        <w:rPr>
          <w:rFonts w:asciiTheme="majorBidi" w:hAnsiTheme="majorBidi" w:cstheme="majorBidi"/>
        </w:rPr>
        <w:t>La guerre n’arrête jamais. Quand on lui dit stop, qu’on signe un armistice, elle s’arrange pour continuer par d’autres moyens. Car la guerre, ce serait trop bête de s’en priver, est une explosion d’intelligence et d’invention. Quand on leur commande d’écraser leurs semblables les cerveaux bouillonnent. (…) Des milliers de victimes accidentées d’une sorte de guerre-et-paix, auxquelles on ne consacrera jamais aucun monument aux morts. En période de paix, on déclara la guerre à la terre, aux sols, en les ruinant, en tuant micro-organismes et lombrics, en provoquant ces réactions en chaîne sur nos cellules que prétend soigner le docteur Bayer. Un explosif présenté comme un bienfaiteur de l’humanité, on reconnaît le discours du gouverneur de Bikini, qui convainc les habitants de l’atoll des vertus humanistes de l’arme nucléaire.</w:t>
      </w:r>
      <w:r w:rsidRPr="00D42125">
        <w:rPr>
          <w:rStyle w:val="Appelnotedebasdep"/>
          <w:rFonts w:asciiTheme="majorBidi" w:hAnsiTheme="majorBidi" w:cstheme="majorBidi"/>
        </w:rPr>
        <w:footnoteReference w:id="10"/>
      </w:r>
    </w:p>
    <w:p w14:paraId="0A7EBE4A" w14:textId="77777777" w:rsidR="00D42125" w:rsidRPr="00D42125" w:rsidRDefault="00D42125" w:rsidP="00D42125">
      <w:pPr>
        <w:bidi/>
        <w:spacing w:before="120" w:line="360" w:lineRule="auto"/>
        <w:ind w:left="709"/>
        <w:jc w:val="both"/>
        <w:rPr>
          <w:rFonts w:ascii="David" w:hAnsi="David" w:cs="David"/>
          <w:lang w:val="en-GB"/>
        </w:rPr>
      </w:pPr>
      <w:r w:rsidRPr="00D42125">
        <w:rPr>
          <w:rFonts w:ascii="David" w:hAnsi="David" w:cs="David" w:hint="cs"/>
          <w:b/>
          <w:bCs/>
          <w:rtl/>
          <w:lang w:val="en-GB"/>
        </w:rPr>
        <w:t>אירופה, זו המלחמה.</w:t>
      </w:r>
      <w:r w:rsidRPr="00D42125">
        <w:rPr>
          <w:rFonts w:ascii="David" w:hAnsi="David" w:cs="David" w:hint="cs"/>
          <w:rtl/>
          <w:lang w:val="en-GB"/>
        </w:rPr>
        <w:t xml:space="preserve"> מזה כמה זמן? מאז ומעולם, מאז שהונחה בה האבן הראשונה. (...) זה כבר כך, כך זה תמיד. הפולשים מגיעים בגלים, מתעמתים עם הילידים, מתמזגים, מסתכסכים עם הבאים אחריהם. השלום לא מגיע לעולם ביבשת הזו. אפילו לא שלום רומאי.</w:t>
      </w:r>
    </w:p>
    <w:p w14:paraId="3B56DBE6" w14:textId="77777777" w:rsidR="00D42125" w:rsidRPr="00D42125" w:rsidRDefault="00D42125" w:rsidP="00D42125">
      <w:pPr>
        <w:pStyle w:val="Notedebasdepage"/>
        <w:spacing w:before="120" w:line="360" w:lineRule="auto"/>
        <w:ind w:left="709"/>
        <w:jc w:val="both"/>
        <w:rPr>
          <w:sz w:val="24"/>
          <w:szCs w:val="24"/>
          <w:rtl/>
        </w:rPr>
      </w:pPr>
      <w:r w:rsidRPr="00D42125">
        <w:rPr>
          <w:rFonts w:asciiTheme="majorBidi" w:hAnsiTheme="majorBidi"/>
          <w:sz w:val="24"/>
          <w:szCs w:val="24"/>
        </w:rPr>
        <w:t>L’Europe, c’est la guerre.</w:t>
      </w:r>
      <w:r w:rsidRPr="00D42125">
        <w:rPr>
          <w:rFonts w:asciiTheme="majorBidi" w:hAnsiTheme="majorBidi" w:cstheme="majorBidi" w:hint="cs"/>
          <w:sz w:val="24"/>
          <w:szCs w:val="24"/>
          <w:rtl/>
        </w:rPr>
        <w:t xml:space="preserve"> </w:t>
      </w:r>
      <w:r w:rsidRPr="00D42125">
        <w:rPr>
          <w:rFonts w:asciiTheme="majorBidi" w:hAnsiTheme="majorBidi"/>
          <w:sz w:val="24"/>
          <w:szCs w:val="24"/>
        </w:rPr>
        <w:t>Depuis combien de temps ? Depuis toujours, depuis qu’on y dresse des bornes de</w:t>
      </w:r>
      <w:r w:rsidRPr="00D42125">
        <w:rPr>
          <w:rFonts w:asciiTheme="majorBidi" w:hAnsiTheme="majorBidi" w:cstheme="majorBidi" w:hint="cs"/>
          <w:sz w:val="24"/>
          <w:szCs w:val="24"/>
          <w:rtl/>
        </w:rPr>
        <w:t xml:space="preserve"> </w:t>
      </w:r>
      <w:r w:rsidRPr="00D42125">
        <w:rPr>
          <w:rFonts w:asciiTheme="majorBidi" w:hAnsiTheme="majorBidi"/>
          <w:sz w:val="24"/>
          <w:szCs w:val="24"/>
        </w:rPr>
        <w:t>pierre. (…) Cet air est à moi. Comment ça, à toi ? Manquerait plus que ça. Ça déjà,</w:t>
      </w:r>
      <w:r w:rsidRPr="00D42125">
        <w:rPr>
          <w:rFonts w:asciiTheme="majorBidi" w:hAnsiTheme="majorBidi" w:cstheme="majorBidi" w:hint="cs"/>
          <w:sz w:val="24"/>
          <w:szCs w:val="24"/>
          <w:rtl/>
        </w:rPr>
        <w:t xml:space="preserve"> </w:t>
      </w:r>
      <w:r w:rsidRPr="00D42125">
        <w:rPr>
          <w:rFonts w:asciiTheme="majorBidi" w:hAnsiTheme="majorBidi"/>
          <w:sz w:val="24"/>
          <w:szCs w:val="24"/>
        </w:rPr>
        <w:t xml:space="preserve">ça toujours. Les envahisseurs arrivant par vagues, affrontant les </w:t>
      </w:r>
      <w:r w:rsidRPr="00D42125">
        <w:rPr>
          <w:rFonts w:asciiTheme="majorBidi" w:hAnsiTheme="majorBidi"/>
          <w:sz w:val="24"/>
          <w:szCs w:val="24"/>
        </w:rPr>
        <w:lastRenderedPageBreak/>
        <w:t>autochtones,</w:t>
      </w:r>
      <w:r w:rsidRPr="00D42125">
        <w:rPr>
          <w:rFonts w:asciiTheme="majorBidi" w:hAnsiTheme="majorBidi" w:cstheme="majorBidi" w:hint="cs"/>
          <w:sz w:val="24"/>
          <w:szCs w:val="24"/>
          <w:rtl/>
        </w:rPr>
        <w:t xml:space="preserve"> </w:t>
      </w:r>
      <w:r w:rsidRPr="00D42125">
        <w:rPr>
          <w:rFonts w:asciiTheme="majorBidi" w:hAnsiTheme="majorBidi"/>
          <w:sz w:val="24"/>
          <w:szCs w:val="24"/>
        </w:rPr>
        <w:t>s’amalgamant, entrant en conflit avec les nouveaux arrivants. Jamais de paix sur ce</w:t>
      </w:r>
      <w:r w:rsidRPr="00D42125">
        <w:rPr>
          <w:rFonts w:asciiTheme="majorBidi" w:hAnsiTheme="majorBidi" w:cstheme="majorBidi" w:hint="cs"/>
          <w:sz w:val="24"/>
          <w:szCs w:val="24"/>
          <w:rtl/>
        </w:rPr>
        <w:t xml:space="preserve"> </w:t>
      </w:r>
      <w:r w:rsidRPr="00D42125">
        <w:rPr>
          <w:rFonts w:asciiTheme="majorBidi" w:hAnsiTheme="majorBidi"/>
          <w:sz w:val="24"/>
          <w:szCs w:val="24"/>
        </w:rPr>
        <w:t>continent, et même pas romaine.</w:t>
      </w:r>
      <w:r w:rsidRPr="00D42125">
        <w:rPr>
          <w:rStyle w:val="Appelnotedebasdep"/>
          <w:sz w:val="24"/>
          <w:szCs w:val="24"/>
        </w:rPr>
        <w:footnoteReference w:id="11"/>
      </w:r>
    </w:p>
    <w:p w14:paraId="0E3ED72E" w14:textId="77777777" w:rsidR="00D42125" w:rsidRPr="00D42125" w:rsidRDefault="00D42125" w:rsidP="00D42125">
      <w:pPr>
        <w:bidi/>
        <w:spacing w:before="120" w:line="360" w:lineRule="auto"/>
        <w:jc w:val="both"/>
        <w:rPr>
          <w:rFonts w:ascii="David" w:hAnsi="David" w:cs="David"/>
          <w:rtl/>
        </w:rPr>
      </w:pPr>
      <w:r w:rsidRPr="00D42125">
        <w:rPr>
          <w:rFonts w:ascii="David" w:hAnsi="David" w:cs="David" w:hint="cs"/>
          <w:rtl/>
        </w:rPr>
        <w:t xml:space="preserve">רואו ממיר את ההבניה המסורתית של המלחמה כרצף אירועים תחומים בזמן ובמרחב, שראשיתם בתאריך פריצה של הסכסוך וסופם בחתימה על הסכם שלום, בהגדרה של המלחמה כמצב חברתי-פוליטי שאינו מסתיים לעולם. הגדרה זו נובעת מההכרה בכך שהמלחמה מאיצה תהליכי המצאה, פיתוח, ייצור וניסוי של מוצרים, תרכובות כימיות וטכניקות, המנוסות על אוכלוסייה חסרת ישע בעודה מתרחשת. ההכרזה על כינונו של ״שלום״, אינה בולמת את תהליכים אלו. תחת זאת, הגזים, כלי הנשק וכלי התחבורה היבשתיים והאוויריים המנוסים בעתות מלחמה, משווקים לקהל הרחב בימי ״שלום״ למגוון שימושים יום-יומיים. במקביל, אמצעי הלוחמה עצמם, ממשיכים להימכר גם לאחר שמסתיימת המלחמה, בפרט למדינות שעודן מצויות במצבי סכסוך. על כן, אף על פי שאירופה הכריזה זה מכבר על כינונו של שלום (שכיום, ספק אם ניתן להכיר בו גם בהסתמך על הגדרות מסורתיות של מושג השלום, בהתחשב במלחמת רוסיה-אוקראינה למשל),  היא מוגדרת על פי רואו כאזור מלחמה כל עוד הכלכלה המערבית נשענת ישירות ובעקיפין על מצבי מלחמה. </w:t>
      </w:r>
    </w:p>
    <w:p w14:paraId="1BD1C446" w14:textId="77777777" w:rsidR="00D42125" w:rsidRPr="00D42125" w:rsidRDefault="00D42125" w:rsidP="00D42125">
      <w:pPr>
        <w:bidi/>
        <w:spacing w:before="120" w:line="360" w:lineRule="auto"/>
        <w:ind w:firstLine="708"/>
        <w:jc w:val="both"/>
        <w:rPr>
          <w:rFonts w:ascii="David" w:hAnsi="David" w:cs="David"/>
          <w:rtl/>
        </w:rPr>
      </w:pPr>
      <w:r w:rsidRPr="00D42125">
        <w:rPr>
          <w:rFonts w:ascii="David" w:hAnsi="David" w:cs="David" w:hint="cs"/>
          <w:rtl/>
        </w:rPr>
        <w:t xml:space="preserve">ניתן לזהות על כן הלימה בין סגנונו הספרותי של רואו לבין עמדותיו הפוליטיות: אם הנסיבות בהן הן חי כיום מוגדרות על פיו כמצב מלחמה, הרי שסביר שיכתוב על הסכסוך בגוף ראשון ובזמן הווה, כמי שעד לו. זיקה זו בין הגדרתו של רואו את עצמו כעד מלחמה ואת צרפת העכשווית כאזור סכסוך, השבה ועולה בכתביו האוטוביוגרפיים והפוליטיים, מעלה שאלות מתחומי ידע שונים: </w:t>
      </w:r>
      <w:proofErr w:type="spellStart"/>
      <w:r w:rsidRPr="00D42125">
        <w:rPr>
          <w:rFonts w:ascii="David" w:hAnsi="David" w:cs="David" w:hint="cs"/>
          <w:rtl/>
        </w:rPr>
        <w:t>נרטולוגית</w:t>
      </w:r>
      <w:proofErr w:type="spellEnd"/>
      <w:r w:rsidRPr="00D42125">
        <w:rPr>
          <w:rFonts w:ascii="David" w:hAnsi="David" w:cs="David" w:hint="cs"/>
          <w:rtl/>
        </w:rPr>
        <w:t xml:space="preserve">, מהם האמצעים הספרותיים מבעדם רואו מגדיר עצמו כעד מלחמה? כיצד ניתן למקם את מעמד עדות זה ביחס להגדרות קיימות הנוגעות לספרות הנכתבת על ידי בני הדור השני והשלישי למלחמות העולם? פוליטית, איזו הבנייה של יחסי השלום והמלחמה יוצרת הכתיבה על אזור בו מכונן ״שלום״ כעד מלחמה? עבודה זו מתמודדת עם שאלות אלו תוך  יצירת זיקה בין שני תחומי מחקר הנלמדים קיום במנותק האחד מהשני: חקר העדות והפילוסופיה הפוליטית. </w:t>
      </w:r>
    </w:p>
    <w:p w14:paraId="59636C9F" w14:textId="77777777" w:rsidR="00D42125" w:rsidRPr="00D42125" w:rsidRDefault="00D42125" w:rsidP="00D42125">
      <w:pPr>
        <w:bidi/>
        <w:spacing w:before="120" w:line="360" w:lineRule="auto"/>
        <w:jc w:val="both"/>
        <w:rPr>
          <w:rFonts w:ascii="David" w:hAnsi="David" w:cs="David"/>
          <w:rtl/>
        </w:rPr>
      </w:pPr>
      <w:r w:rsidRPr="00D42125">
        <w:rPr>
          <w:rFonts w:ascii="David" w:hAnsi="David" w:cs="David" w:hint="cs"/>
          <w:rtl/>
        </w:rPr>
        <w:tab/>
        <w:t xml:space="preserve">ראשית, מחקר זה פונה אל חקר העדות בניסיון להבין מה משמעות היות עד בחברה וכיצד בני המערב בני ימינו מוגדרים ביחס למושג זה. בשדה העדות, העד מוגדר באופן מוסכם </w:t>
      </w:r>
      <w:proofErr w:type="spellStart"/>
      <w:r w:rsidRPr="00D42125">
        <w:rPr>
          <w:rFonts w:ascii="David" w:hAnsi="David" w:cs="David" w:hint="cs"/>
          <w:rtl/>
        </w:rPr>
        <w:t>כ״מי</w:t>
      </w:r>
      <w:proofErr w:type="spellEnd"/>
      <w:r w:rsidRPr="00D42125">
        <w:rPr>
          <w:rFonts w:ascii="David" w:hAnsi="David" w:cs="David" w:hint="cs"/>
          <w:rtl/>
        </w:rPr>
        <w:t xml:space="preserve"> שהיה שם״, בזמן ובמרחב בו התרחש האירוע עליו הוא מעיד.</w:t>
      </w:r>
      <w:r w:rsidRPr="00D42125">
        <w:rPr>
          <w:rStyle w:val="Appelnotedebasdep"/>
          <w:rFonts w:ascii="David" w:hAnsi="David" w:cs="David"/>
          <w:rtl/>
        </w:rPr>
        <w:footnoteReference w:id="12"/>
      </w:r>
      <w:r w:rsidRPr="00D42125">
        <w:rPr>
          <w:rFonts w:ascii="David" w:hAnsi="David" w:cs="David" w:hint="cs"/>
          <w:rtl/>
        </w:rPr>
        <w:t xml:space="preserve"> מוסכמה זו תקפה להגדרות מילוניות, כמו לדוגמה, במילון לרוס (</w:t>
      </w:r>
      <w:proofErr w:type="spellStart"/>
      <w:r w:rsidRPr="00D42125">
        <w:rPr>
          <w:rFonts w:ascii="David" w:hAnsi="David" w:cs="David" w:hint="cs"/>
        </w:rPr>
        <w:t>Laroussse</w:t>
      </w:r>
      <w:proofErr w:type="spellEnd"/>
      <w:r w:rsidRPr="00D42125">
        <w:rPr>
          <w:rFonts w:ascii="David" w:hAnsi="David" w:cs="David" w:hint="cs"/>
          <w:rtl/>
        </w:rPr>
        <w:t>): ״עד: אדם שראה או שמע דבר מה ושביכולתו לאשש אותו, לדווח עליו, בעת הצורך.״ (</w:t>
      </w:r>
      <w:r w:rsidRPr="00D42125">
        <w:rPr>
          <w:rFonts w:ascii="David" w:hAnsi="David" w:cs="David" w:hint="cs"/>
          <w:color w:val="000000" w:themeColor="text1"/>
          <w:shd w:val="clear" w:color="auto" w:fill="FFFFFF"/>
        </w:rPr>
        <w:t>«</w:t>
      </w:r>
      <w:r w:rsidRPr="00D42125">
        <w:rPr>
          <w:rFonts w:ascii="David" w:hAnsi="David" w:cs="David" w:hint="cs"/>
          <w:color w:val="000000" w:themeColor="text1"/>
        </w:rPr>
        <w:t xml:space="preserve">Témoin : </w:t>
      </w:r>
      <w:r w:rsidRPr="00D42125">
        <w:rPr>
          <w:rFonts w:ascii="David" w:hAnsi="David" w:cs="David" w:hint="cs"/>
          <w:color w:val="000000" w:themeColor="text1"/>
          <w:shd w:val="clear" w:color="auto" w:fill="FFFFFF"/>
        </w:rPr>
        <w:t>Personne qui a vu ou entendu quelque chose, et qui peut éventuellement le certifier, le rapporter»</w:t>
      </w:r>
      <w:r w:rsidRPr="00D42125">
        <w:rPr>
          <w:rFonts w:ascii="David" w:hAnsi="David" w:cs="David" w:hint="cs"/>
          <w:rtl/>
        </w:rPr>
        <w:t xml:space="preserve">) ובמילון </w:t>
      </w:r>
      <w:proofErr w:type="spellStart"/>
      <w:r w:rsidRPr="00D42125">
        <w:rPr>
          <w:rFonts w:ascii="David" w:hAnsi="David" w:cs="David" w:hint="cs"/>
          <w:rtl/>
        </w:rPr>
        <w:t>פטי</w:t>
      </w:r>
      <w:proofErr w:type="spellEnd"/>
      <w:r w:rsidRPr="00D42125">
        <w:rPr>
          <w:rFonts w:ascii="David" w:hAnsi="David" w:cs="David" w:hint="cs"/>
          <w:rtl/>
        </w:rPr>
        <w:t>-רובה (</w:t>
      </w:r>
      <w:r w:rsidRPr="00D42125">
        <w:rPr>
          <w:rFonts w:ascii="David" w:hAnsi="David" w:cs="David" w:hint="cs"/>
        </w:rPr>
        <w:t>Petit-Robert</w:t>
      </w:r>
      <w:r w:rsidRPr="00D42125">
        <w:rPr>
          <w:rFonts w:ascii="David" w:hAnsi="David" w:cs="David" w:hint="cs"/>
          <w:rtl/>
        </w:rPr>
        <w:t>): ״עד: אדם שנכח שלא מרצונו באירוע, בפרשייה מסוימת״ (</w:t>
      </w:r>
      <w:r w:rsidRPr="00D42125">
        <w:rPr>
          <w:rFonts w:ascii="David" w:hAnsi="David" w:cs="David" w:hint="cs"/>
          <w:color w:val="000000" w:themeColor="text1"/>
          <w:shd w:val="clear" w:color="auto" w:fill="FFFFFF"/>
        </w:rPr>
        <w:t>« </w:t>
      </w:r>
      <w:r w:rsidRPr="00D42125">
        <w:rPr>
          <w:rFonts w:ascii="David" w:hAnsi="David" w:cs="David" w:hint="cs"/>
          <w:color w:val="000000" w:themeColor="text1"/>
        </w:rPr>
        <w:t>Témoin : personne qui assiste involontairement à un évènement, un fait</w:t>
      </w:r>
      <w:r w:rsidRPr="00D42125">
        <w:rPr>
          <w:rFonts w:ascii="David" w:hAnsi="David" w:cs="David" w:hint="cs"/>
          <w:color w:val="000000" w:themeColor="text1"/>
          <w:rtl/>
        </w:rPr>
        <w:t>) וכן</w:t>
      </w:r>
      <w:r w:rsidRPr="00D42125">
        <w:rPr>
          <w:rFonts w:ascii="David" w:hAnsi="David" w:cs="David" w:hint="cs"/>
          <w:rtl/>
        </w:rPr>
        <w:t xml:space="preserve"> להגדרות מתחום הבלשנות על פיהן העד הוא מי ששמע או ראה דבר מה ומסוגל לספק טיעונים בכתב או בעל פה שיאששו את דבריו.</w:t>
      </w:r>
      <w:r w:rsidRPr="00D42125">
        <w:rPr>
          <w:rStyle w:val="Appelnotedebasdep"/>
          <w:rFonts w:ascii="David" w:hAnsi="David" w:cs="David" w:hint="cs"/>
          <w:color w:val="000000" w:themeColor="text1"/>
          <w:shd w:val="clear" w:color="auto" w:fill="FFFFFF"/>
        </w:rPr>
        <w:t xml:space="preserve"> </w:t>
      </w:r>
      <w:r w:rsidRPr="00D42125">
        <w:rPr>
          <w:rStyle w:val="Appelnotedebasdep"/>
          <w:rFonts w:ascii="David" w:hAnsi="David" w:cs="David" w:hint="cs"/>
          <w:color w:val="000000" w:themeColor="text1"/>
          <w:shd w:val="clear" w:color="auto" w:fill="FFFFFF"/>
        </w:rPr>
        <w:footnoteReference w:id="13"/>
      </w:r>
      <w:r w:rsidRPr="00D42125">
        <w:rPr>
          <w:rFonts w:ascii="David" w:hAnsi="David" w:cs="David" w:hint="cs"/>
          <w:rtl/>
        </w:rPr>
        <w:t xml:space="preserve">מחקר זה מציע שזיהוי מוחלט זה בין מעמד העדות לבין הנוכחות באירוע יוצר כיום חיץ בין שתי עמדות אתיות ופוליטיות ביחס למציאות העכשווית. העמדה הראשונה היא עמדתו של העד, עליו מוטלת אחריות מוסרית ביחס להיסטוריה, להווה ולעתיד. כשם שמסבירה שושנה </w:t>
      </w:r>
      <w:proofErr w:type="spellStart"/>
      <w:r w:rsidRPr="00D42125">
        <w:rPr>
          <w:rFonts w:ascii="David" w:hAnsi="David" w:cs="David" w:hint="cs"/>
          <w:rtl/>
        </w:rPr>
        <w:t>פלמן</w:t>
      </w:r>
      <w:proofErr w:type="spellEnd"/>
      <w:r w:rsidRPr="00D42125">
        <w:rPr>
          <w:rFonts w:ascii="David" w:hAnsi="David" w:cs="David" w:hint="cs"/>
          <w:rtl/>
        </w:rPr>
        <w:t xml:space="preserve"> (</w:t>
      </w:r>
      <w:proofErr w:type="spellStart"/>
      <w:r w:rsidRPr="00D42125">
        <w:rPr>
          <w:rFonts w:ascii="David" w:hAnsi="David" w:cs="David" w:hint="cs"/>
        </w:rPr>
        <w:t>Shoshana</w:t>
      </w:r>
      <w:proofErr w:type="spellEnd"/>
      <w:r w:rsidRPr="00D42125">
        <w:rPr>
          <w:rFonts w:ascii="David" w:hAnsi="David" w:cs="David" w:hint="cs"/>
        </w:rPr>
        <w:t xml:space="preserve"> </w:t>
      </w:r>
      <w:proofErr w:type="spellStart"/>
      <w:r w:rsidRPr="00D42125">
        <w:rPr>
          <w:rFonts w:ascii="David" w:hAnsi="David" w:cs="David" w:hint="cs"/>
        </w:rPr>
        <w:t>Felman</w:t>
      </w:r>
      <w:proofErr w:type="spellEnd"/>
      <w:r w:rsidRPr="00D42125">
        <w:rPr>
          <w:rFonts w:ascii="David" w:hAnsi="David" w:cs="David" w:hint="cs"/>
          <w:rtl/>
        </w:rPr>
        <w:t xml:space="preserve">), מסירת עמדות, משמעה קבלת אחריות ביחס לאמת. מבעד לקולו, העד חורג מגבולות העצמי שלו לשם הענקת תוקף להשלכות קולקטיביות של אירוע היסטורי, בשמו ובשם קורבנות האירוע. היות עד </w:t>
      </w:r>
      <w:r w:rsidRPr="00D42125">
        <w:rPr>
          <w:rFonts w:ascii="David" w:hAnsi="David" w:cs="David" w:hint="cs"/>
          <w:rtl/>
        </w:rPr>
        <w:lastRenderedPageBreak/>
        <w:t>משמעו אימוץ עמדה אתית ופוליטית ביחס לנרטיב ההיסטורי שמבנה גרסתו, ביחס למציאות העכשווית בה חיים נמעני העדות וביחס לעתיד, עליו הוא מבקש להשפיע מבעד לדבריו.</w:t>
      </w:r>
      <w:r w:rsidRPr="00D42125">
        <w:rPr>
          <w:rStyle w:val="Appelnotedebasdep"/>
          <w:rFonts w:ascii="David" w:hAnsi="David" w:cs="David" w:hint="cs"/>
        </w:rPr>
        <w:footnoteReference w:id="14"/>
      </w:r>
    </w:p>
    <w:p w14:paraId="564AFCA2" w14:textId="77777777" w:rsidR="00D42125" w:rsidRPr="00D42125" w:rsidRDefault="00D42125" w:rsidP="00D42125">
      <w:pPr>
        <w:bidi/>
        <w:spacing w:before="120" w:line="360" w:lineRule="auto"/>
        <w:ind w:firstLine="708"/>
        <w:jc w:val="both"/>
        <w:rPr>
          <w:rFonts w:ascii="David" w:hAnsi="David" w:cs="David"/>
          <w:rtl/>
        </w:rPr>
      </w:pPr>
      <w:r w:rsidRPr="00D42125">
        <w:rPr>
          <w:rFonts w:ascii="David" w:hAnsi="David" w:cs="David" w:hint="cs"/>
          <w:rtl/>
        </w:rPr>
        <w:t xml:space="preserve">העמדה השנייה ביחס למציאות העכשווית וההיסטורית היא עמדתם של </w:t>
      </w:r>
      <w:proofErr w:type="spellStart"/>
      <w:r w:rsidRPr="00D42125">
        <w:rPr>
          <w:rFonts w:ascii="David" w:hAnsi="David" w:cs="David" w:hint="cs"/>
          <w:rtl/>
        </w:rPr>
        <w:t>ה״בלתי-עדים</w:t>
      </w:r>
      <w:proofErr w:type="spellEnd"/>
      <w:r w:rsidRPr="00D42125">
        <w:rPr>
          <w:rFonts w:ascii="David" w:hAnsi="David" w:cs="David" w:hint="cs"/>
          <w:rtl/>
        </w:rPr>
        <w:t xml:space="preserve">״. שיח העדות העכשווי מגדיר באופן עקבי את בני הדור העכשווי על דרך ההיפוך של עמדת העד. הגדרה זו של </w:t>
      </w:r>
      <w:proofErr w:type="spellStart"/>
      <w:r w:rsidRPr="00D42125">
        <w:rPr>
          <w:rFonts w:ascii="David" w:hAnsi="David" w:cs="David" w:hint="cs"/>
          <w:rtl/>
        </w:rPr>
        <w:t>ה״הבלתי-עדים</w:t>
      </w:r>
      <w:proofErr w:type="spellEnd"/>
      <w:r w:rsidRPr="00D42125">
        <w:rPr>
          <w:rFonts w:ascii="David" w:hAnsi="David" w:cs="David" w:hint="cs"/>
          <w:rtl/>
        </w:rPr>
        <w:t>״ מובנה ראשית מבעד למושג הרווח ״היעלמות העדים״, ביחס למותם של בני דור מלחמות העולם ככלל ושל ניצולי השואה בפרט. כפי שמאיר פיליפ מנר (</w:t>
      </w:r>
      <w:r w:rsidRPr="00D42125">
        <w:rPr>
          <w:rFonts w:ascii="David" w:hAnsi="David" w:cs="David" w:hint="cs"/>
        </w:rPr>
        <w:t xml:space="preserve">Philippe </w:t>
      </w:r>
      <w:proofErr w:type="spellStart"/>
      <w:r w:rsidRPr="00D42125">
        <w:rPr>
          <w:rFonts w:ascii="David" w:hAnsi="David" w:cs="David" w:hint="cs"/>
        </w:rPr>
        <w:t>Mesnard</w:t>
      </w:r>
      <w:proofErr w:type="spellEnd"/>
      <w:r w:rsidRPr="00D42125">
        <w:rPr>
          <w:rFonts w:ascii="David" w:hAnsi="David" w:cs="David" w:hint="cs"/>
          <w:rtl/>
        </w:rPr>
        <w:t xml:space="preserve">), מאז שנות התשעים, הביטוי ״היעלמות העדים״ נעשה </w:t>
      </w:r>
      <w:proofErr w:type="spellStart"/>
      <w:r w:rsidRPr="00D42125">
        <w:rPr>
          <w:rFonts w:ascii="David" w:hAnsi="David" w:cs="David" w:hint="cs"/>
          <w:rtl/>
        </w:rPr>
        <w:t>לדוקסה</w:t>
      </w:r>
      <w:proofErr w:type="spellEnd"/>
      <w:r w:rsidRPr="00D42125">
        <w:rPr>
          <w:rFonts w:ascii="David" w:hAnsi="David" w:cs="David" w:hint="cs"/>
          <w:rtl/>
        </w:rPr>
        <w:t xml:space="preserve"> כשגורמים פדגוגים, היסטוריונים ומארגני יוזמות הנצחה וזיכרון הגדירו באמצעותו את הצורך הבוער לשמר את עדויות הניצולים בטרם ימותו.</w:t>
      </w:r>
      <w:r w:rsidRPr="00D42125">
        <w:rPr>
          <w:rStyle w:val="Appelnotedebasdep"/>
          <w:rFonts w:ascii="David" w:hAnsi="David" w:cs="David" w:hint="cs"/>
          <w:rtl/>
        </w:rPr>
        <w:footnoteReference w:id="15"/>
      </w:r>
      <w:r w:rsidRPr="00D42125">
        <w:rPr>
          <w:rFonts w:ascii="David" w:hAnsi="David" w:cs="David" w:hint="cs"/>
          <w:rtl/>
        </w:rPr>
        <w:t xml:space="preserve"> </w:t>
      </w:r>
    </w:p>
    <w:p w14:paraId="15CAA9C5" w14:textId="77777777" w:rsidR="00D42125" w:rsidRPr="00D42125" w:rsidRDefault="00D42125" w:rsidP="00D42125">
      <w:pPr>
        <w:bidi/>
        <w:spacing w:before="120" w:line="360" w:lineRule="auto"/>
        <w:ind w:firstLine="708"/>
        <w:jc w:val="both"/>
        <w:rPr>
          <w:rFonts w:ascii="David" w:hAnsi="David" w:cs="David"/>
          <w:rtl/>
        </w:rPr>
      </w:pPr>
      <w:r w:rsidRPr="00D42125">
        <w:rPr>
          <w:rFonts w:ascii="David" w:hAnsi="David" w:cs="David" w:hint="cs"/>
          <w:rtl/>
        </w:rPr>
        <w:t xml:space="preserve">את הבנייה זו של </w:t>
      </w:r>
      <w:proofErr w:type="spellStart"/>
      <w:r w:rsidRPr="00D42125">
        <w:rPr>
          <w:rFonts w:ascii="David" w:hAnsi="David" w:cs="David" w:hint="cs"/>
          <w:rtl/>
        </w:rPr>
        <w:t>ה״עדים</w:t>
      </w:r>
      <w:proofErr w:type="spellEnd"/>
      <w:r w:rsidRPr="00D42125">
        <w:rPr>
          <w:rFonts w:ascii="David" w:hAnsi="David" w:cs="David" w:hint="cs"/>
          <w:rtl/>
        </w:rPr>
        <w:t xml:space="preserve">״ כתופעה ההולכת ונעלמת מן העולם, משלימה הגדרת בני הדור העכשווי, שלא נכח במלחמות העולם, </w:t>
      </w:r>
      <w:proofErr w:type="spellStart"/>
      <w:r w:rsidRPr="00D42125">
        <w:rPr>
          <w:rFonts w:ascii="David" w:hAnsi="David" w:cs="David" w:hint="cs"/>
          <w:rtl/>
        </w:rPr>
        <w:t>כ״דור</w:t>
      </w:r>
      <w:proofErr w:type="spellEnd"/>
      <w:r w:rsidRPr="00D42125">
        <w:rPr>
          <w:rFonts w:ascii="David" w:hAnsi="David" w:cs="David" w:hint="cs"/>
          <w:rtl/>
        </w:rPr>
        <w:t xml:space="preserve"> הבלתי-עדים״ (</w:t>
      </w:r>
      <w:r w:rsidRPr="00D42125">
        <w:rPr>
          <w:rFonts w:ascii="David" w:hAnsi="David" w:cs="David" w:hint="cs"/>
        </w:rPr>
        <w:t>l’ère des non-témoins</w:t>
      </w:r>
      <w:r w:rsidRPr="00D42125">
        <w:rPr>
          <w:rFonts w:ascii="David" w:hAnsi="David" w:cs="David" w:hint="cs"/>
          <w:rtl/>
        </w:rPr>
        <w:t xml:space="preserve">). כך לדוגמה, בספרה ״דור הלא-עדים״, מנתחת חוקרת הספרות אורלי </w:t>
      </w:r>
      <w:proofErr w:type="spellStart"/>
      <w:r w:rsidRPr="00D42125">
        <w:rPr>
          <w:rFonts w:ascii="David" w:hAnsi="David" w:cs="David" w:hint="cs"/>
          <w:rtl/>
        </w:rPr>
        <w:t>ברז׳ונה</w:t>
      </w:r>
      <w:proofErr w:type="spellEnd"/>
      <w:r w:rsidRPr="00D42125">
        <w:rPr>
          <w:rFonts w:ascii="David" w:hAnsi="David" w:cs="David" w:hint="cs"/>
          <w:rtl/>
        </w:rPr>
        <w:t xml:space="preserve"> (</w:t>
      </w:r>
      <w:r w:rsidRPr="00D42125">
        <w:rPr>
          <w:rFonts w:ascii="David" w:hAnsi="David" w:cs="David" w:hint="cs"/>
        </w:rPr>
        <w:t xml:space="preserve">Aurélie </w:t>
      </w:r>
      <w:proofErr w:type="spellStart"/>
      <w:r w:rsidRPr="00D42125">
        <w:rPr>
          <w:rFonts w:ascii="David" w:hAnsi="David" w:cs="David" w:hint="cs"/>
        </w:rPr>
        <w:t>Barjonet</w:t>
      </w:r>
      <w:proofErr w:type="spellEnd"/>
      <w:r w:rsidRPr="00D42125">
        <w:rPr>
          <w:rFonts w:ascii="David" w:hAnsi="David" w:cs="David" w:hint="cs"/>
          <w:rtl/>
        </w:rPr>
        <w:t xml:space="preserve">) עשרים ושתיים יצירות </w:t>
      </w:r>
      <w:proofErr w:type="spellStart"/>
      <w:r w:rsidRPr="00D42125">
        <w:rPr>
          <w:rFonts w:ascii="David" w:hAnsi="David" w:cs="David" w:hint="cs"/>
          <w:rtl/>
        </w:rPr>
        <w:t>אוטביוגרפיות</w:t>
      </w:r>
      <w:proofErr w:type="spellEnd"/>
      <w:r w:rsidRPr="00D42125">
        <w:rPr>
          <w:rFonts w:ascii="David" w:hAnsi="David" w:cs="David" w:hint="cs"/>
          <w:rtl/>
        </w:rPr>
        <w:t xml:space="preserve"> ובדיוניות הנוגעות לשואה, שראו אור בין השנים 2006-2012. בפרפראזה על המושג ״דור העדים״ שטבעה אנט </w:t>
      </w:r>
      <w:proofErr w:type="spellStart"/>
      <w:r w:rsidRPr="00D42125">
        <w:rPr>
          <w:rFonts w:ascii="David" w:hAnsi="David" w:cs="David" w:hint="cs"/>
          <w:rtl/>
        </w:rPr>
        <w:t>ויוורקה</w:t>
      </w:r>
      <w:proofErr w:type="spellEnd"/>
      <w:r w:rsidRPr="00D42125">
        <w:rPr>
          <w:rFonts w:ascii="David" w:hAnsi="David" w:cs="David" w:hint="cs"/>
          <w:rtl/>
        </w:rPr>
        <w:t xml:space="preserve"> (</w:t>
      </w:r>
      <w:r w:rsidRPr="00D42125">
        <w:rPr>
          <w:rFonts w:ascii="David" w:hAnsi="David" w:cs="David" w:hint="cs"/>
        </w:rPr>
        <w:t xml:space="preserve">Annette </w:t>
      </w:r>
      <w:proofErr w:type="spellStart"/>
      <w:r w:rsidRPr="00D42125">
        <w:rPr>
          <w:rFonts w:ascii="David" w:hAnsi="David" w:cs="David" w:hint="cs"/>
        </w:rPr>
        <w:t>Wieviorka</w:t>
      </w:r>
      <w:proofErr w:type="spellEnd"/>
      <w:r w:rsidRPr="00D42125">
        <w:rPr>
          <w:rFonts w:ascii="David" w:hAnsi="David" w:cs="David" w:hint="cs"/>
          <w:rtl/>
        </w:rPr>
        <w:t xml:space="preserve">) ביחס לריבוי כתבי העדות מאת דור העדים של מלחמות העולם שביקשו לנסח אמת היסטורית שנובעת מאירועי העבר ומשליכה על ההווה ועל העתיד. </w:t>
      </w:r>
      <w:r w:rsidRPr="00D42125">
        <w:rPr>
          <w:rStyle w:val="Appelnotedebasdep"/>
          <w:rFonts w:ascii="David" w:hAnsi="David" w:cs="David" w:hint="cs"/>
        </w:rPr>
        <w:footnoteReference w:id="16"/>
      </w:r>
      <w:r w:rsidRPr="00D42125">
        <w:rPr>
          <w:rFonts w:ascii="David" w:hAnsi="David" w:cs="David" w:hint="cs"/>
          <w:rtl/>
        </w:rPr>
        <w:t xml:space="preserve"> ליצירת ״דור הבלתי-עדים״, על פי </w:t>
      </w:r>
      <w:proofErr w:type="spellStart"/>
      <w:r w:rsidRPr="00D42125">
        <w:rPr>
          <w:rFonts w:ascii="David" w:hAnsi="David" w:cs="David" w:hint="cs"/>
          <w:rtl/>
        </w:rPr>
        <w:t>ברז׳ונה</w:t>
      </w:r>
      <w:proofErr w:type="spellEnd"/>
      <w:r w:rsidRPr="00D42125">
        <w:rPr>
          <w:rFonts w:ascii="David" w:hAnsi="David" w:cs="David" w:hint="cs"/>
          <w:rtl/>
        </w:rPr>
        <w:t>, תכלית שונה : הם מבקשים לבטא את הקושי בהעברת המורשת המשפחתית והקולקטיבית ומקפידים לאזכר באופן מתמיד שגם כאשר הם כותבים על אירועים שהעדים שהם הכירו חוו, הם כותבים אותם מתוך עמדה שאינה עמדת עד.</w:t>
      </w:r>
      <w:r w:rsidRPr="00D42125">
        <w:rPr>
          <w:rStyle w:val="Appelnotedebasdep"/>
          <w:rFonts w:ascii="David" w:hAnsi="David" w:cs="David" w:hint="cs"/>
        </w:rPr>
        <w:t xml:space="preserve"> </w:t>
      </w:r>
      <w:r w:rsidRPr="00D42125">
        <w:rPr>
          <w:rStyle w:val="Appelnotedebasdep"/>
          <w:rFonts w:ascii="David" w:hAnsi="David" w:cs="David" w:hint="cs"/>
        </w:rPr>
        <w:footnoteReference w:id="17"/>
      </w:r>
      <w:r w:rsidRPr="00D42125">
        <w:rPr>
          <w:rFonts w:ascii="David" w:hAnsi="David" w:cs="David" w:hint="cs"/>
          <w:rtl/>
        </w:rPr>
        <w:t xml:space="preserve"> </w:t>
      </w:r>
    </w:p>
    <w:p w14:paraId="1ADFB905" w14:textId="77777777" w:rsidR="00D42125" w:rsidRPr="00D42125" w:rsidRDefault="00D42125" w:rsidP="00D42125">
      <w:pPr>
        <w:bidi/>
        <w:spacing w:before="120" w:line="360" w:lineRule="auto"/>
        <w:ind w:firstLine="360"/>
        <w:jc w:val="both"/>
        <w:rPr>
          <w:rFonts w:ascii="David" w:hAnsi="David" w:cs="David"/>
        </w:rPr>
      </w:pPr>
      <w:r w:rsidRPr="00D42125">
        <w:rPr>
          <w:rFonts w:ascii="David" w:hAnsi="David" w:cs="David" w:hint="cs"/>
          <w:rtl/>
        </w:rPr>
        <w:t xml:space="preserve">את שתי הגדרות אלו הנוגעות ליחסים הדיאלקטים בין העדים ״הנעלמים״ לבין </w:t>
      </w:r>
      <w:proofErr w:type="spellStart"/>
      <w:r w:rsidRPr="00D42125">
        <w:rPr>
          <w:rFonts w:ascii="David" w:hAnsi="David" w:cs="David" w:hint="cs"/>
          <w:rtl/>
        </w:rPr>
        <w:t>ה״בלתי-עדים</w:t>
      </w:r>
      <w:proofErr w:type="spellEnd"/>
      <w:r w:rsidRPr="00D42125">
        <w:rPr>
          <w:rFonts w:ascii="David" w:hAnsi="David" w:cs="David" w:hint="cs"/>
          <w:rtl/>
        </w:rPr>
        <w:t>״, משלים המושג ״דור אחר-הזיכרון״</w:t>
      </w:r>
      <w:r w:rsidRPr="00D42125">
        <w:rPr>
          <w:rFonts w:ascii="David" w:hAnsi="David" w:cs="David" w:hint="cs"/>
        </w:rPr>
        <w:t xml:space="preserve"> </w:t>
      </w:r>
      <w:r w:rsidRPr="00D42125">
        <w:rPr>
          <w:rFonts w:ascii="David" w:hAnsi="David" w:cs="David" w:hint="cs"/>
          <w:rtl/>
        </w:rPr>
        <w:t xml:space="preserve"> (</w:t>
      </w:r>
      <w:r w:rsidRPr="00D42125">
        <w:rPr>
          <w:rFonts w:ascii="David" w:hAnsi="David" w:cs="David" w:hint="cs"/>
        </w:rPr>
        <w:t xml:space="preserve">The </w:t>
      </w:r>
      <w:proofErr w:type="spellStart"/>
      <w:r w:rsidRPr="00D42125">
        <w:rPr>
          <w:rFonts w:ascii="David" w:hAnsi="David" w:cs="David" w:hint="cs"/>
        </w:rPr>
        <w:t>Generation</w:t>
      </w:r>
      <w:proofErr w:type="spellEnd"/>
      <w:r w:rsidRPr="00D42125">
        <w:rPr>
          <w:rFonts w:ascii="David" w:hAnsi="David" w:cs="David" w:hint="cs"/>
        </w:rPr>
        <w:t xml:space="preserve"> of </w:t>
      </w:r>
      <w:proofErr w:type="spellStart"/>
      <w:r w:rsidRPr="00D42125">
        <w:rPr>
          <w:rFonts w:ascii="David" w:hAnsi="David" w:cs="David" w:hint="cs"/>
        </w:rPr>
        <w:t>Postmemory</w:t>
      </w:r>
      <w:proofErr w:type="spellEnd"/>
      <w:r w:rsidRPr="00D42125">
        <w:rPr>
          <w:rFonts w:ascii="David" w:hAnsi="David" w:cs="David" w:hint="cs"/>
          <w:rtl/>
        </w:rPr>
        <w:t>). מושג זה נטבע על ידי מריאן הירש (</w:t>
      </w:r>
      <w:r w:rsidRPr="00D42125">
        <w:rPr>
          <w:rFonts w:ascii="David" w:hAnsi="David" w:cs="David" w:hint="cs"/>
        </w:rPr>
        <w:t xml:space="preserve">Marianne </w:t>
      </w:r>
      <w:proofErr w:type="spellStart"/>
      <w:r w:rsidRPr="00D42125">
        <w:rPr>
          <w:rFonts w:ascii="David" w:hAnsi="David" w:cs="David" w:hint="cs"/>
        </w:rPr>
        <w:t>Hirsch</w:t>
      </w:r>
      <w:proofErr w:type="spellEnd"/>
      <w:r w:rsidRPr="00D42125">
        <w:rPr>
          <w:rFonts w:ascii="David" w:hAnsi="David" w:cs="David" w:hint="cs"/>
          <w:rtl/>
        </w:rPr>
        <w:t>), בהתייחס ליחסים הטראומטיים המתקיימים בין הדור השני למלחמה לבין בני הדור שחווה אותה על בשרו. על פי הירש, חוויות המלחמה מתווכות לעיתים באופן כה מוחשי מבעד לסיפורים, לדימויים חזותיים ולמפגשים פנים-אל-פנים עם העדים, עד שנדמה שהם נעשו לזיכרונות מכוננים של בני הדור השני של המלחמה. חקר ״אחר-הזיכרון״, בוחן את ההשלכות האישיות והקולקטיביות של דחיקת הזיכרון האישי הישיר של בני הדור השני למלחמה, לטובת זכר המלחמה.</w:t>
      </w:r>
      <w:r w:rsidRPr="00D42125">
        <w:rPr>
          <w:rStyle w:val="Appelnotedebasdep"/>
          <w:rFonts w:ascii="David" w:hAnsi="David" w:cs="David" w:hint="cs"/>
          <w:rtl/>
        </w:rPr>
        <w:footnoteReference w:id="18"/>
      </w:r>
    </w:p>
    <w:p w14:paraId="13C9AF1D" w14:textId="77777777" w:rsidR="00D42125" w:rsidRPr="00D42125" w:rsidRDefault="00D42125" w:rsidP="00D42125">
      <w:pPr>
        <w:bidi/>
        <w:spacing w:before="120" w:line="360" w:lineRule="auto"/>
        <w:ind w:firstLine="360"/>
        <w:jc w:val="both"/>
        <w:rPr>
          <w:rFonts w:ascii="David" w:hAnsi="David" w:cs="David"/>
          <w:rtl/>
        </w:rPr>
      </w:pPr>
      <w:r w:rsidRPr="00D42125">
        <w:rPr>
          <w:rFonts w:ascii="David" w:hAnsi="David" w:cs="David" w:hint="cs"/>
          <w:rtl/>
        </w:rPr>
        <w:t xml:space="preserve">ואולם, בעודנו חיים בעולם בו מצבי סכסוך, מלחמה, הרס סביבתי ואי צדק הולכים ופושים, האם ניתן לדבר על ״היעלמותם של העדים״, כמו חסרו לנו כיום מלחמות להעיד עליהן ולהתקומם נגדן? האם עומדת לרשותנו זכות-היתר לעבור למצב תודעתי של ״אחר-זיכרון״, כמו לא הייתה סיבה, וחובה מוסרית-פוליטית, לתעד ולהנציח את הסבל המתרחש סביבנו כיום?  או שמא לחלופין, עלינו להגדיר מעמדי עדות חדשים שיביעו את מצבי אי-הצדק המתרבים סביבנו? כמו כן, איזה ייצוג של עדי מלחמות העולם החיים סביבנו כיום וסובלים תדירות מתנאי חיים מחפירים מייצר שיח זה על פיו העדים ״נעלמו״ זה מכבר? ואכן, מחקר </w:t>
      </w:r>
      <w:r w:rsidRPr="00D42125">
        <w:rPr>
          <w:rFonts w:ascii="David" w:hAnsi="David" w:cs="David" w:hint="cs"/>
          <w:rtl/>
        </w:rPr>
        <w:lastRenderedPageBreak/>
        <w:t xml:space="preserve">זה מציע שמתקיים כיום קורפוס של סופרים עכשוויים שמסרבים להגדיר עצמם </w:t>
      </w:r>
      <w:proofErr w:type="spellStart"/>
      <w:r w:rsidRPr="00D42125">
        <w:rPr>
          <w:rFonts w:ascii="David" w:hAnsi="David" w:cs="David" w:hint="cs"/>
          <w:rtl/>
        </w:rPr>
        <w:t>כ״בלתי-עדים</w:t>
      </w:r>
      <w:proofErr w:type="spellEnd"/>
      <w:r w:rsidRPr="00D42125">
        <w:rPr>
          <w:rFonts w:ascii="David" w:hAnsi="David" w:cs="David" w:hint="cs"/>
          <w:rtl/>
        </w:rPr>
        <w:t xml:space="preserve">״, מעמדתם שיח העדות בין ימינו מתעלם כליל. כך, סופרים כדוגמת רואו יוצאים חוצץ נגד אותה הבנייה של יחסי דיאלקטיים בין דור העדים שפס מן העולם לבין דור </w:t>
      </w:r>
      <w:proofErr w:type="spellStart"/>
      <w:r w:rsidRPr="00D42125">
        <w:rPr>
          <w:rFonts w:ascii="David" w:hAnsi="David" w:cs="David" w:hint="cs"/>
          <w:rtl/>
        </w:rPr>
        <w:t>ה״בלתי-עדים</w:t>
      </w:r>
      <w:proofErr w:type="spellEnd"/>
      <w:r w:rsidRPr="00D42125">
        <w:rPr>
          <w:rFonts w:ascii="David" w:hAnsi="David" w:cs="David" w:hint="cs"/>
          <w:rtl/>
        </w:rPr>
        <w:t xml:space="preserve">״. בהגדרתם העצמית כעדים למלחמה שלא נכחו בה, הם מאמצים את עמדת העד המבוססת על אחריות היסטורית, פוליטית ומוסרית ביחס למציאות שמיוחסת כיום בשיח העדות לבני ״דור-העדים״ בלבד. ברם, אם הם לא נכחו גופא במלחמות העולם, על אילו נסיבות כלל-עולמיות הם מעידים? מהי המציאות הפוליטית אליה מגיבים אותם עדים עכשוויים? </w:t>
      </w:r>
    </w:p>
    <w:p w14:paraId="3B4FAB26" w14:textId="77777777" w:rsidR="00D42125" w:rsidRPr="00D42125" w:rsidRDefault="00D42125" w:rsidP="00D42125">
      <w:pPr>
        <w:bidi/>
        <w:spacing w:before="120" w:line="360" w:lineRule="auto"/>
        <w:ind w:firstLine="360"/>
        <w:jc w:val="both"/>
        <w:rPr>
          <w:rFonts w:ascii="David" w:hAnsi="David" w:cs="David"/>
          <w:rtl/>
        </w:rPr>
      </w:pPr>
      <w:r w:rsidRPr="00D42125">
        <w:rPr>
          <w:rFonts w:ascii="David" w:hAnsi="David" w:cs="David" w:hint="cs"/>
          <w:rtl/>
        </w:rPr>
        <w:t xml:space="preserve">בניסיון לענות לשאלות אלו, מחקר זה קושר את שדה העדות אל מתודולוגיה מתחומי הפילוסופיה הפוליטית. זאת משום שהחלוקה המסורתית בין עדים </w:t>
      </w:r>
      <w:proofErr w:type="spellStart"/>
      <w:r w:rsidRPr="00D42125">
        <w:rPr>
          <w:rFonts w:ascii="David" w:hAnsi="David" w:cs="David" w:hint="cs"/>
          <w:rtl/>
        </w:rPr>
        <w:t>ל״בלתי-עדים</w:t>
      </w:r>
      <w:proofErr w:type="spellEnd"/>
      <w:r w:rsidRPr="00D42125">
        <w:rPr>
          <w:rFonts w:ascii="David" w:hAnsi="David" w:cs="David" w:hint="cs"/>
          <w:rtl/>
        </w:rPr>
        <w:t xml:space="preserve">״, מאבדת תוקף מרגע בו המלחמה מובנית כמצב עקבי, ״שאינו מפסיק לעולם״, במילותיו של רואו. על פי הבנייה זו, בני הדור השני והשלישי למלחמות העולם, אינם עוד ״בלתי-עדים״, כי אם, במילותיו של רואו, ״קורבנות של מעין מלחמה-ושלום״, הממשיכים לסבול מהרס חומרי, חברתי, אקולוגי ופוליטי בעת העכשווית. אבקש להציע שההגדרה של רואו את אירופה העכשווית כמצויה במצב של ״מעין שלום-ומלחמה״ מוצאת הד במונח מתחום הפילוסופיה הפוליטית : ״לא שלום ולא מלחמה״. באופן מסורתי, בשדה מחקר זה, המלחמה הוגדרה כמצב בו מתקיימים יחסי גומלין של אלימות מזויינת בין שתי קבוצות מאורגנות, האחת נגד השנייה. </w:t>
      </w:r>
      <w:proofErr w:type="spellStart"/>
      <w:r w:rsidRPr="00D42125">
        <w:rPr>
          <w:rFonts w:ascii="David" w:hAnsi="David" w:cs="David" w:hint="cs"/>
          <w:rtl/>
        </w:rPr>
        <w:t>ה״שלום</w:t>
      </w:r>
      <w:proofErr w:type="spellEnd"/>
      <w:r w:rsidRPr="00D42125">
        <w:rPr>
          <w:rFonts w:ascii="David" w:hAnsi="David" w:cs="David" w:hint="cs"/>
          <w:rtl/>
        </w:rPr>
        <w:t xml:space="preserve">״, על דרך ההיפוך, הוגדר כהיעדרה של אלימות דו-צדדית מעין זו. על פי הבנייה זו של מושגי השלום והמלחמה, מצבים בהם אלימות אינה מתקיימת כלל ונסיבות בהן האלימות היא חד-כיוונית, הוגדרו שתיהן כמצבי שלום. </w:t>
      </w:r>
    </w:p>
    <w:p w14:paraId="7A65B2CF" w14:textId="77777777" w:rsidR="00D42125" w:rsidRPr="00D42125" w:rsidRDefault="00D42125" w:rsidP="00D42125">
      <w:pPr>
        <w:bidi/>
        <w:spacing w:before="120" w:line="360" w:lineRule="auto"/>
        <w:ind w:firstLine="360"/>
        <w:jc w:val="both"/>
        <w:rPr>
          <w:rFonts w:ascii="David" w:hAnsi="David" w:cs="David"/>
        </w:rPr>
      </w:pPr>
      <w:r w:rsidRPr="00D42125">
        <w:rPr>
          <w:rFonts w:ascii="David" w:hAnsi="David" w:cs="David" w:hint="cs"/>
          <w:rtl/>
        </w:rPr>
        <w:t xml:space="preserve">על פי החוקרים העכשוויים מתחום הפילוסופיה הפוליטית </w:t>
      </w:r>
      <w:proofErr w:type="spellStart"/>
      <w:r w:rsidRPr="00D42125">
        <w:rPr>
          <w:rFonts w:ascii="David" w:hAnsi="David" w:cs="David" w:hint="cs"/>
          <w:rtl/>
        </w:rPr>
        <w:t>דומיניק</w:t>
      </w:r>
      <w:proofErr w:type="spellEnd"/>
      <w:r w:rsidRPr="00D42125">
        <w:rPr>
          <w:rFonts w:ascii="David" w:hAnsi="David" w:cs="David" w:hint="cs"/>
          <w:rtl/>
        </w:rPr>
        <w:t xml:space="preserve"> </w:t>
      </w:r>
      <w:proofErr w:type="spellStart"/>
      <w:r w:rsidRPr="00D42125">
        <w:rPr>
          <w:rFonts w:ascii="David" w:hAnsi="David" w:cs="David" w:hint="cs"/>
          <w:rtl/>
        </w:rPr>
        <w:t>לינהַר</w:t>
      </w:r>
      <w:proofErr w:type="spellEnd"/>
      <w:r w:rsidRPr="00D42125">
        <w:rPr>
          <w:rFonts w:ascii="David" w:hAnsi="David" w:cs="David" w:hint="cs"/>
          <w:rtl/>
        </w:rPr>
        <w:t xml:space="preserve">ְ </w:t>
      </w:r>
      <w:proofErr w:type="spellStart"/>
      <w:r w:rsidRPr="00D42125">
        <w:rPr>
          <w:rFonts w:ascii="David" w:hAnsi="David" w:cs="David" w:hint="cs"/>
          <w:rtl/>
        </w:rPr>
        <w:t>וסדריק</w:t>
      </w:r>
      <w:proofErr w:type="spellEnd"/>
      <w:r w:rsidRPr="00D42125">
        <w:rPr>
          <w:rFonts w:ascii="David" w:hAnsi="David" w:cs="David" w:hint="cs"/>
          <w:rtl/>
        </w:rPr>
        <w:t xml:space="preserve"> מורו דה בֶלֶה (</w:t>
      </w:r>
      <w:r w:rsidRPr="00D42125">
        <w:rPr>
          <w:rFonts w:ascii="David" w:hAnsi="David" w:cs="David" w:hint="cs"/>
        </w:rPr>
        <w:t xml:space="preserve">Dominique </w:t>
      </w:r>
      <w:proofErr w:type="spellStart"/>
      <w:r w:rsidRPr="00D42125">
        <w:rPr>
          <w:rFonts w:ascii="David" w:hAnsi="David" w:cs="David" w:hint="cs"/>
        </w:rPr>
        <w:t>Linhardt</w:t>
      </w:r>
      <w:proofErr w:type="spellEnd"/>
      <w:r w:rsidRPr="00D42125">
        <w:rPr>
          <w:rFonts w:ascii="David" w:hAnsi="David" w:cs="David" w:hint="cs"/>
        </w:rPr>
        <w:t xml:space="preserve"> et Cédric Moreau de </w:t>
      </w:r>
      <w:proofErr w:type="spellStart"/>
      <w:r w:rsidRPr="00D42125">
        <w:rPr>
          <w:rFonts w:ascii="David" w:hAnsi="David" w:cs="David" w:hint="cs"/>
        </w:rPr>
        <w:t>Bellaing</w:t>
      </w:r>
      <w:proofErr w:type="spellEnd"/>
      <w:r w:rsidRPr="00D42125">
        <w:rPr>
          <w:rFonts w:ascii="David" w:hAnsi="David" w:cs="David" w:hint="cs"/>
          <w:rtl/>
        </w:rPr>
        <w:t xml:space="preserve">) הגדרה דיאלקטית זו של מצבי השלום והמלחמה, עשויה לסייע אמנם בניתוח מלחמות היסטוריות מסוימות. אולם, היא מונעת בעדנו להבין את הנסיבות הכלל-עולמיות העכשוויות ולהתנגד אליהן, מציאות אותה הם מבקשים להגדיר </w:t>
      </w:r>
      <w:proofErr w:type="spellStart"/>
      <w:r w:rsidRPr="00D42125">
        <w:rPr>
          <w:rFonts w:ascii="David" w:hAnsi="David" w:cs="David" w:hint="cs"/>
          <w:rtl/>
        </w:rPr>
        <w:t>כ״לא</w:t>
      </w:r>
      <w:proofErr w:type="spellEnd"/>
      <w:r w:rsidRPr="00D42125">
        <w:rPr>
          <w:rFonts w:ascii="David" w:hAnsi="David" w:cs="David" w:hint="cs"/>
          <w:rtl/>
        </w:rPr>
        <w:t xml:space="preserve"> שלום ולא מלחמה״. בעת העכשווית, מיליוני בני אדם, בפרט באפריקה, במזרח התיכון ובדרום אמריקה, חיים במצב קבוע של סכסוך. סכסוך זה מתקיים בתוך סדר חברתי-פוליטי יציב באופן יחסי. מדינות המערב, שהמלחמה הפסיקה להחריב את הנופים שלהן מאז מלחמות העולם, ממשיכות לקחת חלק באותם מצבי סכסוך המתרחשים מחוץ לגבולות הגאוגרפיים שלהן. למעורבות זו פנים ישירים, כדוגמת סחר בנשק והתערבות צבאית ופנים עקיפים, ובראשם, ההתעלמות, השכחה והכחשת הרווחים הכלכליים שהמערב מפיק מן הסכסוך. המרחק הגאוגרפי בין אזור העימות למדינות המתפרנסות ממנו, העמימות הנוגעת לגורמים שמעורבים בו ומורווחים ממנו, הקושי להגדיר נקודת ראשית ורגע סיום לקונפליקט, יוצרים אשליה שהסכסוך הוא מצב כרוני, עובדה מוגמרת ומציאות שאינה בת שינוי. שני </w:t>
      </w:r>
      <w:proofErr w:type="spellStart"/>
      <w:r w:rsidRPr="00D42125">
        <w:rPr>
          <w:rFonts w:ascii="David" w:hAnsi="David" w:cs="David" w:hint="cs"/>
          <w:rtl/>
        </w:rPr>
        <w:t>צידי</w:t>
      </w:r>
      <w:proofErr w:type="spellEnd"/>
      <w:r w:rsidRPr="00D42125">
        <w:rPr>
          <w:rFonts w:ascii="David" w:hAnsi="David" w:cs="David" w:hint="cs"/>
          <w:rtl/>
        </w:rPr>
        <w:t xml:space="preserve"> הסכסוך מוגדרים שוב ושוב כאחראים הבלעדיים שלו וסנקציות להפסקתו מוטלות עליהם ולא על הגורמים שמזינים אותו, ישירות ובעקיפין.</w:t>
      </w:r>
      <w:r w:rsidRPr="00D42125">
        <w:rPr>
          <w:rStyle w:val="Appelnotedebasdep"/>
          <w:rFonts w:ascii="David" w:hAnsi="David" w:cs="David" w:hint="cs"/>
          <w:rtl/>
        </w:rPr>
        <w:footnoteReference w:id="19"/>
      </w:r>
    </w:p>
    <w:p w14:paraId="2A899F85" w14:textId="77777777" w:rsidR="00D42125" w:rsidRPr="00D42125" w:rsidRDefault="00D42125" w:rsidP="00D42125">
      <w:pPr>
        <w:bidi/>
        <w:spacing w:before="120" w:line="360" w:lineRule="auto"/>
        <w:jc w:val="both"/>
        <w:rPr>
          <w:rFonts w:ascii="David" w:hAnsi="David" w:cs="David"/>
          <w:rtl/>
        </w:rPr>
      </w:pPr>
      <w:r w:rsidRPr="00D42125">
        <w:rPr>
          <w:rFonts w:ascii="David" w:hAnsi="David" w:cs="David" w:hint="cs"/>
          <w:rtl/>
        </w:rPr>
        <w:tab/>
        <w:t xml:space="preserve">מחקר זה מציע שאל נוכח מיסוך זה של היחסים בין מחרחרי המלחמה לקורבנותיה, בין המורווחים ממצבי הסכסוך לבין </w:t>
      </w:r>
      <w:proofErr w:type="spellStart"/>
      <w:r w:rsidRPr="00D42125">
        <w:rPr>
          <w:rFonts w:ascii="David" w:hAnsi="David" w:cs="David" w:hint="cs"/>
          <w:rtl/>
        </w:rPr>
        <w:t>נפגעיו</w:t>
      </w:r>
      <w:proofErr w:type="spellEnd"/>
      <w:r w:rsidRPr="00D42125">
        <w:rPr>
          <w:rFonts w:ascii="David" w:hAnsi="David" w:cs="David" w:hint="cs"/>
          <w:rtl/>
        </w:rPr>
        <w:t xml:space="preserve">, בין הגורמים המעורבים במלחמה לבין הקרקע בה היא מתרחשת, ז׳אן רואו המציא מעמד עדות על אודות המלחמה והשלום גם יחד. עדות זו מבטלת את החציצה הקיימת בשיח העדות בין ״דור העדים״ לבין ״דור הבלתי-עדים״, בהגדרתה את כולנו כקורבנות של ״מעין שלום-ומלחמה, עבורם לעולם לא נקים יד לזכר הנופלים״, במילותיו של רואו. בד-בבד, היא מערערת על הגדרה בינארית נוספת, </w:t>
      </w:r>
      <w:r w:rsidRPr="00D42125">
        <w:rPr>
          <w:rFonts w:ascii="David" w:hAnsi="David" w:cs="David" w:hint="cs"/>
          <w:rtl/>
        </w:rPr>
        <w:lastRenderedPageBreak/>
        <w:t xml:space="preserve">משדה הספרות, בין שתי סוגות ״ספרות מלחמה״ </w:t>
      </w:r>
      <w:proofErr w:type="spellStart"/>
      <w:r w:rsidRPr="00D42125">
        <w:rPr>
          <w:rFonts w:ascii="David" w:hAnsi="David" w:cs="David" w:hint="cs"/>
          <w:rtl/>
        </w:rPr>
        <w:t>ו״ספרות</w:t>
      </w:r>
      <w:proofErr w:type="spellEnd"/>
      <w:r w:rsidRPr="00D42125">
        <w:rPr>
          <w:rFonts w:ascii="David" w:hAnsi="David" w:cs="David" w:hint="cs"/>
          <w:rtl/>
        </w:rPr>
        <w:t xml:space="preserve"> שלום״</w:t>
      </w:r>
      <w:r w:rsidRPr="00D42125">
        <w:rPr>
          <w:rFonts w:ascii="David" w:hAnsi="David" w:cs="David" w:hint="cs"/>
          <w:color w:val="000000" w:themeColor="text1"/>
        </w:rPr>
        <w:t xml:space="preserve"> </w:t>
      </w:r>
      <w:r w:rsidRPr="00D42125">
        <w:rPr>
          <w:rFonts w:ascii="David" w:hAnsi="David" w:cs="David" w:hint="cs"/>
          <w:rtl/>
        </w:rPr>
        <w:t xml:space="preserve"> </w:t>
      </w:r>
      <w:proofErr w:type="spellStart"/>
      <w:r w:rsidRPr="00D42125">
        <w:rPr>
          <w:rFonts w:ascii="David" w:hAnsi="David" w:cs="David" w:hint="cs"/>
          <w:rtl/>
        </w:rPr>
        <w:t>סווז</w:t>
      </w:r>
      <w:proofErr w:type="spellEnd"/>
      <w:r w:rsidRPr="00D42125">
        <w:rPr>
          <w:rFonts w:ascii="David" w:hAnsi="David" w:cs="David" w:hint="cs"/>
          <w:rtl/>
        </w:rPr>
        <w:t>׳ ברוסמן (</w:t>
      </w:r>
      <w:r w:rsidRPr="00D42125">
        <w:rPr>
          <w:rFonts w:ascii="David" w:hAnsi="David" w:cs="David" w:hint="cs"/>
        </w:rPr>
        <w:t>Savage</w:t>
      </w:r>
      <w:r w:rsidRPr="00D42125">
        <w:rPr>
          <w:rFonts w:ascii="David" w:hAnsi="David" w:cs="David" w:hint="cs"/>
          <w:color w:val="000000" w:themeColor="text1"/>
        </w:rPr>
        <w:t xml:space="preserve"> </w:t>
      </w:r>
      <w:proofErr w:type="spellStart"/>
      <w:r w:rsidRPr="00D42125">
        <w:rPr>
          <w:rFonts w:ascii="David" w:hAnsi="David" w:cs="David" w:hint="cs"/>
          <w:color w:val="000000" w:themeColor="text1"/>
        </w:rPr>
        <w:t>Brosman</w:t>
      </w:r>
      <w:proofErr w:type="spellEnd"/>
      <w:r w:rsidRPr="00D42125">
        <w:rPr>
          <w:rFonts w:ascii="David" w:hAnsi="David" w:cs="David" w:hint="cs"/>
          <w:rtl/>
        </w:rPr>
        <w:t xml:space="preserve">) מגדירה את ספרות המלחמה </w:t>
      </w:r>
      <w:r w:rsidRPr="00D42125">
        <w:rPr>
          <w:rFonts w:ascii="David" w:hAnsi="David" w:cs="David" w:hint="cs"/>
          <w:color w:val="000000" w:themeColor="text1"/>
          <w:rtl/>
        </w:rPr>
        <w:t xml:space="preserve">כסיפורת </w:t>
      </w:r>
      <w:r w:rsidRPr="00D42125">
        <w:rPr>
          <w:rFonts w:ascii="David" w:hAnsi="David" w:cs="David" w:hint="cs"/>
          <w:rtl/>
        </w:rPr>
        <w:t>בה מתקיים חיווי כפול : של מחבר הטקסט ושל ערכים קולקטיביים. ביטוי ערכי זה, התומך במלחמה או מתנגד אליה, מופנה אל חבריו לנשק של המספר, חיים או מתים, ואל נמען היצירה, המאשרר את מערכת ערכים זו או דוחה אותה. כך לדוגמה, היצירה הקלאסית ״במערב אין כל חדש״, מסופרת מפי הלוחם וחבריו לקרב, כדי להביע ערכים אנטי מיליטריסטיים הנוגעים לעליונות החיים על המוות. מבעד לערכים אלו, ספרות המלחמה מאחדת בין הסיפור ההיסטורי (</w:t>
      </w:r>
      <w:r w:rsidRPr="00D42125">
        <w:rPr>
          <w:rFonts w:ascii="David" w:hAnsi="David" w:cs="David" w:hint="cs"/>
        </w:rPr>
        <w:t>Histoire</w:t>
      </w:r>
      <w:r w:rsidRPr="00D42125">
        <w:rPr>
          <w:rFonts w:ascii="David" w:hAnsi="David" w:cs="David" w:hint="cs"/>
          <w:rtl/>
        </w:rPr>
        <w:t>) והסיפור האישי (</w:t>
      </w:r>
      <w:r w:rsidRPr="00D42125">
        <w:rPr>
          <w:rFonts w:ascii="David" w:hAnsi="David" w:cs="David" w:hint="cs"/>
        </w:rPr>
        <w:t>histoire</w:t>
      </w:r>
      <w:r w:rsidRPr="00D42125">
        <w:rPr>
          <w:rFonts w:ascii="David" w:hAnsi="David" w:cs="David" w:hint="cs"/>
          <w:rtl/>
        </w:rPr>
        <w:t>) של העד.</w:t>
      </w:r>
      <w:r w:rsidRPr="00D42125">
        <w:rPr>
          <w:rStyle w:val="Appelnotedebasdep"/>
          <w:rFonts w:ascii="David" w:hAnsi="David" w:cs="David" w:hint="cs"/>
          <w:rtl/>
        </w:rPr>
        <w:footnoteReference w:id="20"/>
      </w:r>
    </w:p>
    <w:p w14:paraId="7CB96F94" w14:textId="77777777" w:rsidR="00D42125" w:rsidRPr="00D42125" w:rsidRDefault="00D42125" w:rsidP="00D42125">
      <w:pPr>
        <w:bidi/>
        <w:spacing w:before="120" w:line="360" w:lineRule="auto"/>
        <w:jc w:val="both"/>
        <w:rPr>
          <w:rFonts w:ascii="David" w:hAnsi="David" w:cs="David"/>
          <w:rtl/>
        </w:rPr>
      </w:pPr>
      <w:r w:rsidRPr="00D42125">
        <w:rPr>
          <w:rFonts w:ascii="David" w:hAnsi="David" w:cs="David" w:hint="cs"/>
          <w:rtl/>
        </w:rPr>
        <w:tab/>
        <w:t>הסוגה השנייה הנוגעת להבניית יחסי שלום ומלחמה, היא ״ספרות שלום״. אנטוני אדולף (</w:t>
      </w:r>
      <w:r w:rsidRPr="00D42125">
        <w:rPr>
          <w:rFonts w:ascii="David" w:hAnsi="David" w:cs="David" w:hint="cs"/>
        </w:rPr>
        <w:t>Antony Adolf</w:t>
      </w:r>
      <w:r w:rsidRPr="00D42125">
        <w:rPr>
          <w:rFonts w:ascii="David" w:hAnsi="David" w:cs="David" w:hint="cs"/>
          <w:rtl/>
        </w:rPr>
        <w:t xml:space="preserve">) מגדיר את ״ספרות השלום״ כסוגה ספרותית הנדרשת למושג השלום וממחישה את האופנים בהם השלום נחתם, מיושם ונשמר. מבעד למבט מקביל על היצירה הספרותית ועל ההקשר החברתי-פוליטי בו היא חוברה, ספרות השלום יוצרת ״אחדות״ בין אנשים, קבוצות וחברות הטרוגניות. המחקר הנוגע לספרות שלום מתמקד ביצירות הנכתבות כיום במדינות כדוגמת דרום אפריקה ורואנדה, בהן ״יושב״ כביכול הסכסוך זה מכבר. </w:t>
      </w:r>
      <w:r w:rsidRPr="00D42125">
        <w:rPr>
          <w:rStyle w:val="Appelnotedebasdep"/>
          <w:rFonts w:ascii="David" w:hAnsi="David" w:cs="David" w:hint="cs"/>
          <w:rtl/>
        </w:rPr>
        <w:footnoteReference w:id="21"/>
      </w:r>
    </w:p>
    <w:p w14:paraId="70FA7ECB" w14:textId="77777777" w:rsidR="00D42125" w:rsidRPr="00D42125" w:rsidRDefault="00D42125" w:rsidP="00D42125">
      <w:pPr>
        <w:bidi/>
        <w:spacing w:before="120" w:line="360" w:lineRule="auto"/>
        <w:jc w:val="both"/>
        <w:rPr>
          <w:rFonts w:ascii="David" w:hAnsi="David" w:cs="David"/>
          <w:rtl/>
        </w:rPr>
      </w:pPr>
      <w:r w:rsidRPr="00D42125">
        <w:rPr>
          <w:rFonts w:ascii="David" w:hAnsi="David" w:cs="David" w:hint="cs"/>
          <w:rtl/>
        </w:rPr>
        <w:tab/>
        <w:t xml:space="preserve">יצירות ספרותיות המעידות על מצב ״לא שלום ולא מלחמה״ ככלל וכתביו של רואו בפרט, אינן עומדות בתנאי הסף של שתי סוגות אלו. בשונה </w:t>
      </w:r>
      <w:proofErr w:type="spellStart"/>
      <w:r w:rsidRPr="00D42125">
        <w:rPr>
          <w:rFonts w:ascii="David" w:hAnsi="David" w:cs="David" w:hint="cs"/>
          <w:rtl/>
        </w:rPr>
        <w:t>מ״ספרות</w:t>
      </w:r>
      <w:proofErr w:type="spellEnd"/>
      <w:r w:rsidRPr="00D42125">
        <w:rPr>
          <w:rFonts w:ascii="David" w:hAnsi="David" w:cs="David" w:hint="cs"/>
          <w:rtl/>
        </w:rPr>
        <w:t xml:space="preserve"> מלחמה״, כתבים אלו אינם נמסרים מנקודת מבטו של שורד המלחמה, כי אם מפיו של מחבר שלא חזה בה מבשרו. שלא כמו ״ספרות השלום״, כתבים אלו מסרבים להגדיר את הסיטואציה הפוליטית בה עלילת הספר מתרחשת כמצב של שלום, אף על פי שהם לא מתרחשים במרחב מלחמתי. אלו לא השלום או המלחמה שעומדים ברקע היצירה הספרותית של סוגה זו, אלא מצב כלל עולמי של ״לא שלום ולא מלחמה״ בו מצבי סכסוך מתקיימים בתוך סדר חברתי ופוליטי המגדיר עצמו יציב. בניגוד לספרות המלחמה, המבקשת לאחד בין הסיפור ההיסטורי לסיפור האישי ולספרות השלום, שממחישה תחושת אחדות בין אנשים, קבוצות וחברות, זוהי החצנת הפילוג, הסכסוך וחוסר היציבות המתקיימים בחברה המערבית הנהנית כביכול משלום ומאחדות, שנדרשת לשם ביטוי המצב הפוליטי של ״לא שלום ולא מלחמה״. </w:t>
      </w:r>
    </w:p>
    <w:p w14:paraId="28697E61" w14:textId="77E23A1E" w:rsidR="00B17D18" w:rsidRDefault="00D42125" w:rsidP="00D42125">
      <w:pPr>
        <w:bidi/>
        <w:spacing w:before="120" w:line="360" w:lineRule="auto"/>
        <w:jc w:val="both"/>
        <w:rPr>
          <w:rFonts w:ascii="David" w:hAnsi="David" w:cs="David"/>
          <w:rtl/>
        </w:rPr>
      </w:pPr>
      <w:r w:rsidRPr="00D42125">
        <w:rPr>
          <w:rFonts w:ascii="David" w:hAnsi="David" w:cs="David" w:hint="cs"/>
          <w:rtl/>
        </w:rPr>
        <w:tab/>
        <w:t>הגדרת יצירתו של רואו, כמו גם של סופרים אחרים בני זמננו, כספרות עדות על המצב של ״לא שלום ולא מלחמה״</w:t>
      </w:r>
      <w:r w:rsidRPr="00D42125">
        <w:rPr>
          <w:rFonts w:ascii="David" w:hAnsi="David" w:cs="David" w:hint="cs"/>
          <w:rtl/>
          <w:lang w:val="en-GB"/>
        </w:rPr>
        <w:t xml:space="preserve">, מגלה פנים ספרותיים ופוליטיים שנותרים סמויים מן העין כל עוד החלוקה בין ״עדים״ </w:t>
      </w:r>
      <w:proofErr w:type="spellStart"/>
      <w:r w:rsidRPr="00D42125">
        <w:rPr>
          <w:rFonts w:ascii="David" w:hAnsi="David" w:cs="David" w:hint="cs"/>
          <w:rtl/>
          <w:lang w:val="en-GB"/>
        </w:rPr>
        <w:t>ל״בלתי-עדים</w:t>
      </w:r>
      <w:proofErr w:type="spellEnd"/>
      <w:r w:rsidRPr="00D42125">
        <w:rPr>
          <w:rFonts w:ascii="David" w:hAnsi="David" w:cs="David" w:hint="cs"/>
          <w:rtl/>
          <w:lang w:val="en-GB"/>
        </w:rPr>
        <w:t xml:space="preserve">״ ובין ״ספרות שלום״ </w:t>
      </w:r>
      <w:proofErr w:type="spellStart"/>
      <w:r w:rsidRPr="00D42125">
        <w:rPr>
          <w:rFonts w:ascii="David" w:hAnsi="David" w:cs="David" w:hint="cs"/>
          <w:rtl/>
          <w:lang w:val="en-GB"/>
        </w:rPr>
        <w:t>ל״ספרות</w:t>
      </w:r>
      <w:proofErr w:type="spellEnd"/>
      <w:r w:rsidRPr="00D42125">
        <w:rPr>
          <w:rFonts w:ascii="David" w:hAnsi="David" w:cs="David" w:hint="cs"/>
          <w:rtl/>
          <w:lang w:val="en-GB"/>
        </w:rPr>
        <w:t xml:space="preserve"> מלחמה״ נותרת על כנה. הגדרה זו מאפשרת הבנה של ההווה הסיפורי בו נכתבות יצירות אלו ובמקביל, חושפת את הגורמים הישירים והעקיפים המשמרים מצבי סכסוך בעת העכשווית.</w:t>
      </w:r>
      <w:r w:rsidRPr="00D42125">
        <w:rPr>
          <w:rFonts w:ascii="David" w:hAnsi="David" w:cs="David" w:hint="cs"/>
          <w:rtl/>
        </w:rPr>
        <w:t xml:space="preserve"> כך, בעוד ששדה המחקר של הפילוסופיה הפוליטית עשוי לנתח את האמצעים הישירים בהם נשמר המצב של ״לא מלחמה ולא שלום״, זוהי הספרות שבכוחה לחשוף את האמצעים העקיפים – ההתעלמות, ההדחקה, ההסתרה – שהופכים את כולנו למעורבים בסכסוכים המתרחשים מחוץ לטווח ראייתנו. הגמישות הלשונית של היצירה הספרותית המתירה דיבור בגוף ראשון ובזמן הווה על מצבי מלחמה שלא נכחנו בהן, מאפשרת הבנה של המצב הפוליטי הכלל עולמי והתנגדות אליו. נקודת מבטו של הסופר שלא נכח במערכה, המתבונן בנופים ששוחזרו מאז מלחמות העולם, פותחת צוהר לניתוח פני המלחמה החורגים מגבולות המרחב והזמן שבתחומם היא מתרחשת, מלחמה לה כולנו שותפים. </w:t>
      </w:r>
    </w:p>
    <w:p w14:paraId="3CDC8D0E" w14:textId="77777777" w:rsidR="00D42125" w:rsidRPr="00D42125" w:rsidRDefault="00D42125" w:rsidP="00D42125">
      <w:pPr>
        <w:bidi/>
        <w:spacing w:before="120" w:line="360" w:lineRule="auto"/>
        <w:jc w:val="both"/>
        <w:rPr>
          <w:rFonts w:ascii="David" w:hAnsi="David" w:cs="David"/>
        </w:rPr>
      </w:pPr>
    </w:p>
    <w:p w14:paraId="747E8B25" w14:textId="77777777" w:rsidR="00B17D18" w:rsidRDefault="00B17D18" w:rsidP="00B17D18">
      <w:pPr>
        <w:bidi/>
        <w:spacing w:line="480" w:lineRule="auto"/>
        <w:jc w:val="both"/>
        <w:rPr>
          <w:rFonts w:ascii="David" w:hAnsi="David" w:cs="David"/>
          <w:b/>
          <w:bCs/>
        </w:rPr>
      </w:pPr>
      <w:r>
        <w:rPr>
          <w:rFonts w:ascii="David" w:hAnsi="David" w:cs="David" w:hint="cs"/>
          <w:b/>
          <w:bCs/>
          <w:rtl/>
        </w:rPr>
        <w:t>רשימת מקורות</w:t>
      </w:r>
      <w:r w:rsidRPr="00163464">
        <w:rPr>
          <w:rFonts w:ascii="David" w:hAnsi="David" w:cs="David" w:hint="cs"/>
          <w:b/>
          <w:bCs/>
          <w:rtl/>
        </w:rPr>
        <w:t xml:space="preserve">: </w:t>
      </w:r>
    </w:p>
    <w:p w14:paraId="35ACF969" w14:textId="77777777" w:rsidR="00B17D18" w:rsidRPr="00163464" w:rsidRDefault="00B17D18" w:rsidP="00B17D18">
      <w:pPr>
        <w:bidi/>
        <w:spacing w:line="480" w:lineRule="auto"/>
        <w:jc w:val="both"/>
        <w:rPr>
          <w:rFonts w:ascii="David" w:hAnsi="David" w:cs="David"/>
          <w:b/>
          <w:bCs/>
          <w:rtl/>
        </w:rPr>
      </w:pPr>
    </w:p>
    <w:p w14:paraId="47E90B6F" w14:textId="77777777" w:rsidR="00B17D18" w:rsidRPr="00163464" w:rsidRDefault="00B17D18" w:rsidP="00B17D18">
      <w:pPr>
        <w:spacing w:before="120" w:line="360" w:lineRule="auto"/>
        <w:jc w:val="both"/>
        <w:rPr>
          <w:rFonts w:asciiTheme="majorBidi" w:hAnsiTheme="majorBidi" w:cstheme="majorBidi"/>
        </w:rPr>
      </w:pPr>
      <w:r w:rsidRPr="00163464">
        <w:rPr>
          <w:rFonts w:asciiTheme="majorBidi" w:hAnsiTheme="majorBidi" w:cstheme="majorBidi"/>
        </w:rPr>
        <w:t>Rouaud Jean, «</w:t>
      </w:r>
      <w:r>
        <w:rPr>
          <w:rFonts w:asciiTheme="majorBidi" w:hAnsiTheme="majorBidi" w:cstheme="majorBidi"/>
        </w:rPr>
        <w:t> </w:t>
      </w:r>
      <w:r w:rsidRPr="00163464">
        <w:rPr>
          <w:rFonts w:asciiTheme="majorBidi" w:hAnsiTheme="majorBidi" w:cstheme="majorBidi"/>
        </w:rPr>
        <w:t>La chronique de Jean Rouaud : De guerre lasse</w:t>
      </w:r>
      <w:r>
        <w:rPr>
          <w:rFonts w:asciiTheme="majorBidi" w:hAnsiTheme="majorBidi" w:cstheme="majorBidi"/>
        </w:rPr>
        <w:t> </w:t>
      </w:r>
      <w:r w:rsidRPr="00163464">
        <w:rPr>
          <w:rFonts w:asciiTheme="majorBidi" w:hAnsiTheme="majorBidi" w:cstheme="majorBidi"/>
        </w:rPr>
        <w:t xml:space="preserve">», </w:t>
      </w:r>
      <w:r w:rsidRPr="00163464">
        <w:rPr>
          <w:rFonts w:asciiTheme="majorBidi" w:hAnsiTheme="majorBidi" w:cstheme="majorBidi"/>
          <w:i/>
          <w:iCs/>
        </w:rPr>
        <w:t>L’Humanité</w:t>
      </w:r>
      <w:r w:rsidRPr="00163464">
        <w:rPr>
          <w:rFonts w:asciiTheme="majorBidi" w:hAnsiTheme="majorBidi" w:cstheme="majorBidi"/>
        </w:rPr>
        <w:t>, Mardi, 14</w:t>
      </w:r>
      <w:r>
        <w:rPr>
          <w:rFonts w:asciiTheme="majorBidi" w:hAnsiTheme="majorBidi" w:cstheme="majorBidi"/>
        </w:rPr>
        <w:t> </w:t>
      </w:r>
      <w:r w:rsidRPr="00163464">
        <w:rPr>
          <w:rFonts w:asciiTheme="majorBidi" w:hAnsiTheme="majorBidi" w:cstheme="majorBidi"/>
        </w:rPr>
        <w:t>Novembre, 2017, p.</w:t>
      </w:r>
      <w:r>
        <w:rPr>
          <w:rFonts w:asciiTheme="majorBidi" w:hAnsiTheme="majorBidi" w:cstheme="majorBidi"/>
        </w:rPr>
        <w:t> </w:t>
      </w:r>
      <w:r w:rsidRPr="00163464">
        <w:rPr>
          <w:rFonts w:asciiTheme="majorBidi" w:hAnsiTheme="majorBidi" w:cstheme="majorBidi"/>
        </w:rPr>
        <w:t xml:space="preserve">1-2. URL : </w:t>
      </w:r>
      <w:hyperlink r:id="rId7" w:history="1">
        <w:r w:rsidRPr="00163464">
          <w:rPr>
            <w:rStyle w:val="Lienhypertexte"/>
            <w:rFonts w:asciiTheme="majorBidi" w:hAnsiTheme="majorBidi" w:cstheme="majorBidi"/>
          </w:rPr>
          <w:t>https://www.humanite.fr/de-guerre-lasse-645444</w:t>
        </w:r>
      </w:hyperlink>
    </w:p>
    <w:p w14:paraId="52687671" w14:textId="77777777" w:rsidR="00B17D18" w:rsidRDefault="00B17D18" w:rsidP="00B17D18">
      <w:pPr>
        <w:spacing w:line="360" w:lineRule="auto"/>
        <w:jc w:val="both"/>
        <w:rPr>
          <w:rFonts w:asciiTheme="majorBidi" w:hAnsiTheme="majorBidi" w:cstheme="majorBidi"/>
        </w:rPr>
      </w:pPr>
      <w:r w:rsidRPr="00163464">
        <w:rPr>
          <w:rFonts w:asciiTheme="majorBidi" w:hAnsiTheme="majorBidi" w:cstheme="majorBidi"/>
        </w:rPr>
        <w:t>Rouaud Jean, «</w:t>
      </w:r>
      <w:r>
        <w:rPr>
          <w:rFonts w:asciiTheme="majorBidi" w:hAnsiTheme="majorBidi" w:cstheme="majorBidi"/>
        </w:rPr>
        <w:t> </w:t>
      </w:r>
      <w:r w:rsidRPr="00163464">
        <w:rPr>
          <w:rFonts w:asciiTheme="majorBidi" w:hAnsiTheme="majorBidi" w:cstheme="majorBidi"/>
        </w:rPr>
        <w:t>Le dernier cavalier</w:t>
      </w:r>
      <w:r>
        <w:rPr>
          <w:rFonts w:asciiTheme="majorBidi" w:hAnsiTheme="majorBidi" w:cstheme="majorBidi"/>
        </w:rPr>
        <w:t> </w:t>
      </w:r>
      <w:r w:rsidRPr="00163464">
        <w:rPr>
          <w:rFonts w:asciiTheme="majorBidi" w:hAnsiTheme="majorBidi" w:cstheme="majorBidi"/>
        </w:rPr>
        <w:t>», </w:t>
      </w:r>
      <w:r w:rsidRPr="00163464">
        <w:rPr>
          <w:rFonts w:asciiTheme="majorBidi" w:hAnsiTheme="majorBidi" w:cstheme="majorBidi"/>
          <w:i/>
          <w:iCs/>
        </w:rPr>
        <w:t>Cahiers Claude Simon</w:t>
      </w:r>
      <w:r w:rsidRPr="00163464">
        <w:rPr>
          <w:rFonts w:asciiTheme="majorBidi" w:hAnsiTheme="majorBidi" w:cstheme="majorBidi"/>
        </w:rPr>
        <w:t>, n°</w:t>
      </w:r>
      <w:r>
        <w:rPr>
          <w:rFonts w:asciiTheme="majorBidi" w:hAnsiTheme="majorBidi" w:cstheme="majorBidi"/>
        </w:rPr>
        <w:t> </w:t>
      </w:r>
      <w:r w:rsidRPr="00163464">
        <w:rPr>
          <w:rFonts w:asciiTheme="majorBidi" w:hAnsiTheme="majorBidi" w:cstheme="majorBidi"/>
        </w:rPr>
        <w:t>5, 2009, p.</w:t>
      </w:r>
      <w:r>
        <w:rPr>
          <w:rFonts w:asciiTheme="majorBidi" w:hAnsiTheme="majorBidi" w:cstheme="majorBidi"/>
        </w:rPr>
        <w:t> </w:t>
      </w:r>
      <w:r w:rsidRPr="00163464">
        <w:rPr>
          <w:rFonts w:asciiTheme="majorBidi" w:hAnsiTheme="majorBidi" w:cstheme="majorBidi"/>
        </w:rPr>
        <w:t>147-153.</w:t>
      </w:r>
    </w:p>
    <w:p w14:paraId="0C94B415" w14:textId="77777777" w:rsidR="00B17D18" w:rsidRPr="00163464" w:rsidRDefault="00B17D18" w:rsidP="00B17D18">
      <w:pPr>
        <w:spacing w:line="360" w:lineRule="auto"/>
        <w:jc w:val="both"/>
        <w:rPr>
          <w:rFonts w:asciiTheme="majorBidi" w:hAnsiTheme="majorBidi" w:cstheme="majorBidi"/>
        </w:rPr>
      </w:pPr>
      <w:r>
        <w:rPr>
          <w:rFonts w:asciiTheme="majorBidi" w:hAnsiTheme="majorBidi" w:cstheme="majorBidi"/>
        </w:rPr>
        <w:t xml:space="preserve">Rouaud Jean, </w:t>
      </w:r>
      <w:r w:rsidRPr="004263EC">
        <w:rPr>
          <w:rFonts w:asciiTheme="majorBidi" w:hAnsiTheme="majorBidi" w:cstheme="majorBidi"/>
          <w:i/>
          <w:iCs/>
        </w:rPr>
        <w:t>Les Champs d'honneur</w:t>
      </w:r>
      <w:r>
        <w:rPr>
          <w:rFonts w:asciiTheme="majorBidi" w:hAnsiTheme="majorBidi" w:cstheme="majorBidi"/>
        </w:rPr>
        <w:t>, Paris, Minuit, 1990.</w:t>
      </w:r>
    </w:p>
    <w:p w14:paraId="3FCD33BD" w14:textId="77777777" w:rsidR="00B17D18" w:rsidRPr="004263EC" w:rsidRDefault="00B17D18" w:rsidP="00B17D18">
      <w:pPr>
        <w:pStyle w:val="Notedebasdepage"/>
        <w:spacing w:line="360" w:lineRule="auto"/>
        <w:jc w:val="both"/>
        <w:rPr>
          <w:rFonts w:asciiTheme="majorBidi" w:hAnsiTheme="majorBidi"/>
          <w:sz w:val="24"/>
        </w:rPr>
      </w:pPr>
      <w:r w:rsidRPr="00C10B0A">
        <w:rPr>
          <w:rFonts w:asciiTheme="majorBidi" w:hAnsiTheme="majorBidi" w:hint="cs"/>
          <w:sz w:val="24"/>
        </w:rPr>
        <w:t>Rouaud</w:t>
      </w:r>
      <w:r w:rsidRPr="00C10B0A">
        <w:rPr>
          <w:rFonts w:asciiTheme="majorBidi" w:hAnsiTheme="majorBidi"/>
          <w:sz w:val="24"/>
        </w:rPr>
        <w:t xml:space="preserve"> Jean, </w:t>
      </w:r>
      <w:r w:rsidRPr="00C10B0A">
        <w:rPr>
          <w:rFonts w:asciiTheme="majorBidi" w:hAnsiTheme="majorBidi"/>
          <w:i/>
          <w:sz w:val="24"/>
        </w:rPr>
        <w:t>Sur la scène comme au ciel</w:t>
      </w:r>
      <w:r w:rsidRPr="00C10B0A">
        <w:rPr>
          <w:rFonts w:asciiTheme="majorBidi" w:hAnsiTheme="majorBidi"/>
          <w:sz w:val="24"/>
        </w:rPr>
        <w:t xml:space="preserve">, Paris, Minuit, </w:t>
      </w:r>
      <w:r w:rsidRPr="00F42FE7">
        <w:rPr>
          <w:rFonts w:asciiTheme="majorBidi" w:hAnsiTheme="majorBidi" w:hint="cs"/>
          <w:sz w:val="24"/>
        </w:rPr>
        <w:t>1999</w:t>
      </w:r>
      <w:r w:rsidRPr="004263EC">
        <w:rPr>
          <w:rFonts w:asciiTheme="majorBidi" w:hAnsiTheme="majorBidi"/>
          <w:sz w:val="24"/>
        </w:rPr>
        <w:t>.</w:t>
      </w:r>
    </w:p>
    <w:p w14:paraId="3E46B6A6" w14:textId="77777777" w:rsidR="00B17D18" w:rsidRPr="00B15247" w:rsidRDefault="00B17D18" w:rsidP="00B17D18">
      <w:pPr>
        <w:spacing w:line="360" w:lineRule="auto"/>
        <w:jc w:val="both"/>
        <w:rPr>
          <w:rFonts w:asciiTheme="majorBidi" w:hAnsiTheme="majorBidi" w:cstheme="majorBidi"/>
        </w:rPr>
      </w:pPr>
      <w:r w:rsidRPr="00163464">
        <w:rPr>
          <w:rFonts w:asciiTheme="majorBidi" w:hAnsiTheme="majorBidi" w:cstheme="majorBidi"/>
        </w:rPr>
        <w:t xml:space="preserve">Rouaud Jean, </w:t>
      </w:r>
      <w:r w:rsidRPr="00163464">
        <w:rPr>
          <w:rFonts w:asciiTheme="majorBidi" w:hAnsiTheme="majorBidi" w:cstheme="majorBidi"/>
          <w:i/>
          <w:iCs/>
        </w:rPr>
        <w:t>Un peu la guerre</w:t>
      </w:r>
      <w:r w:rsidRPr="00163464">
        <w:rPr>
          <w:rFonts w:asciiTheme="majorBidi" w:hAnsiTheme="majorBidi" w:cstheme="majorBidi"/>
        </w:rPr>
        <w:t>, Paris, Gallimard, 2014.</w:t>
      </w:r>
    </w:p>
    <w:p w14:paraId="39D9C1BE" w14:textId="77777777" w:rsidR="00B17D18" w:rsidRPr="00B15247" w:rsidRDefault="00B17D18" w:rsidP="00B17D18">
      <w:pPr>
        <w:spacing w:line="360" w:lineRule="auto"/>
        <w:jc w:val="both"/>
        <w:rPr>
          <w:rFonts w:asciiTheme="majorBidi" w:hAnsiTheme="majorBidi" w:cstheme="majorBidi"/>
          <w:shd w:val="clear" w:color="auto" w:fill="FFFFFF"/>
        </w:rPr>
      </w:pPr>
    </w:p>
    <w:p w14:paraId="71EA5BC7" w14:textId="5DAB8BCC" w:rsidR="00B17D18" w:rsidRDefault="00B17D18" w:rsidP="00B17D18">
      <w:pPr>
        <w:spacing w:line="360" w:lineRule="auto"/>
        <w:jc w:val="both"/>
        <w:rPr>
          <w:rFonts w:asciiTheme="majorBidi" w:hAnsiTheme="majorBidi" w:cstheme="majorBidi"/>
          <w:shd w:val="clear" w:color="auto" w:fill="FFFFFF"/>
          <w:lang w:val="en-US"/>
        </w:rPr>
      </w:pPr>
      <w:r w:rsidRPr="00163464">
        <w:rPr>
          <w:rFonts w:asciiTheme="majorBidi" w:hAnsiTheme="majorBidi" w:cstheme="majorBidi"/>
          <w:shd w:val="clear" w:color="auto" w:fill="FFFFFF"/>
          <w:lang w:val="en-US"/>
        </w:rPr>
        <w:t xml:space="preserve">Adolf Antony, </w:t>
      </w:r>
      <w:r>
        <w:rPr>
          <w:rFonts w:asciiTheme="majorBidi" w:hAnsiTheme="majorBidi" w:cstheme="majorBidi"/>
          <w:shd w:val="clear" w:color="auto" w:fill="FFFFFF"/>
          <w:lang w:val="en-US"/>
        </w:rPr>
        <w:t>"</w:t>
      </w:r>
      <w:r w:rsidRPr="00163464">
        <w:rPr>
          <w:rFonts w:asciiTheme="majorBidi" w:hAnsiTheme="majorBidi" w:cstheme="majorBidi"/>
          <w:shd w:val="clear" w:color="auto" w:fill="FFFFFF"/>
          <w:lang w:val="en-US"/>
        </w:rPr>
        <w:t>What Does Peace Literature Do? An Introduction to the Genre and Its Criticism</w:t>
      </w:r>
      <w:r>
        <w:rPr>
          <w:rFonts w:asciiTheme="majorBidi" w:hAnsiTheme="majorBidi" w:cstheme="majorBidi"/>
          <w:shd w:val="clear" w:color="auto" w:fill="FFFFFF"/>
          <w:lang w:val="en-US"/>
        </w:rPr>
        <w:t>"</w:t>
      </w:r>
      <w:r w:rsidRPr="00163464">
        <w:rPr>
          <w:rFonts w:asciiTheme="majorBidi" w:hAnsiTheme="majorBidi" w:cstheme="majorBidi"/>
          <w:shd w:val="clear" w:color="auto" w:fill="FFFFFF"/>
          <w:lang w:val="en-US"/>
        </w:rPr>
        <w:t xml:space="preserve">, </w:t>
      </w:r>
      <w:r w:rsidRPr="00163464">
        <w:rPr>
          <w:rFonts w:asciiTheme="majorBidi" w:hAnsiTheme="majorBidi" w:cstheme="majorBidi"/>
          <w:i/>
          <w:iCs/>
          <w:shd w:val="clear" w:color="auto" w:fill="FFFFFF"/>
          <w:lang w:val="en-US"/>
        </w:rPr>
        <w:t xml:space="preserve">Peace Research, </w:t>
      </w:r>
      <w:r w:rsidRPr="00163464">
        <w:rPr>
          <w:rFonts w:asciiTheme="majorBidi" w:hAnsiTheme="majorBidi" w:cstheme="majorBidi"/>
          <w:shd w:val="clear" w:color="auto" w:fill="FFFFFF"/>
          <w:lang w:val="en-US"/>
        </w:rPr>
        <w:t>vol.</w:t>
      </w:r>
      <w:r>
        <w:rPr>
          <w:rFonts w:asciiTheme="majorBidi" w:hAnsiTheme="majorBidi" w:cstheme="majorBidi"/>
          <w:shd w:val="clear" w:color="auto" w:fill="FFFFFF"/>
          <w:lang w:val="en-US"/>
        </w:rPr>
        <w:t> </w:t>
      </w:r>
      <w:r w:rsidRPr="00163464">
        <w:rPr>
          <w:rFonts w:asciiTheme="majorBidi" w:hAnsiTheme="majorBidi" w:cstheme="majorBidi"/>
          <w:shd w:val="clear" w:color="auto" w:fill="FFFFFF"/>
          <w:lang w:val="en-US"/>
        </w:rPr>
        <w:t>42, n°</w:t>
      </w:r>
      <w:r>
        <w:rPr>
          <w:rFonts w:asciiTheme="majorBidi" w:hAnsiTheme="majorBidi" w:cstheme="majorBidi"/>
          <w:shd w:val="clear" w:color="auto" w:fill="FFFFFF"/>
          <w:lang w:val="en-US"/>
        </w:rPr>
        <w:t> </w:t>
      </w:r>
      <w:r w:rsidRPr="00163464">
        <w:rPr>
          <w:rFonts w:asciiTheme="majorBidi" w:hAnsiTheme="majorBidi" w:cstheme="majorBidi"/>
          <w:shd w:val="clear" w:color="auto" w:fill="FFFFFF"/>
          <w:lang w:val="en-US"/>
        </w:rPr>
        <w:t>2, 2010,</w:t>
      </w:r>
      <w:r>
        <w:rPr>
          <w:rFonts w:asciiTheme="majorBidi" w:hAnsiTheme="majorBidi" w:cstheme="majorBidi"/>
          <w:shd w:val="clear" w:color="auto" w:fill="FFFFFF"/>
          <w:lang w:val="en-US"/>
        </w:rPr>
        <w:t xml:space="preserve"> </w:t>
      </w:r>
      <w:r w:rsidRPr="00163464">
        <w:rPr>
          <w:rFonts w:asciiTheme="majorBidi" w:hAnsiTheme="majorBidi" w:cstheme="majorBidi"/>
          <w:shd w:val="clear" w:color="auto" w:fill="FFFFFF"/>
          <w:lang w:val="en-US"/>
        </w:rPr>
        <w:t>p.</w:t>
      </w:r>
      <w:r>
        <w:rPr>
          <w:rFonts w:asciiTheme="majorBidi" w:hAnsiTheme="majorBidi" w:cstheme="majorBidi"/>
          <w:shd w:val="clear" w:color="auto" w:fill="FFFFFF"/>
          <w:lang w:val="en-US"/>
        </w:rPr>
        <w:t> </w:t>
      </w:r>
      <w:r w:rsidRPr="00163464">
        <w:rPr>
          <w:rFonts w:asciiTheme="majorBidi" w:hAnsiTheme="majorBidi" w:cstheme="majorBidi"/>
          <w:shd w:val="clear" w:color="auto" w:fill="FFFFFF"/>
          <w:lang w:val="en-US"/>
        </w:rPr>
        <w:t>9</w:t>
      </w:r>
      <w:r>
        <w:rPr>
          <w:rFonts w:asciiTheme="majorBidi" w:hAnsiTheme="majorBidi" w:cstheme="majorBidi"/>
          <w:shd w:val="clear" w:color="auto" w:fill="FFFFFF"/>
          <w:lang w:val="en-US"/>
        </w:rPr>
        <w:t> – </w:t>
      </w:r>
      <w:r w:rsidRPr="00163464">
        <w:rPr>
          <w:rFonts w:asciiTheme="majorBidi" w:hAnsiTheme="majorBidi" w:cstheme="majorBidi"/>
          <w:shd w:val="clear" w:color="auto" w:fill="FFFFFF"/>
          <w:lang w:val="en-US"/>
        </w:rPr>
        <w:t>21, p.</w:t>
      </w:r>
      <w:r>
        <w:rPr>
          <w:rFonts w:asciiTheme="majorBidi" w:hAnsiTheme="majorBidi" w:cstheme="majorBidi"/>
          <w:shd w:val="clear" w:color="auto" w:fill="FFFFFF"/>
          <w:lang w:val="en-US"/>
        </w:rPr>
        <w:t> </w:t>
      </w:r>
      <w:r w:rsidRPr="00163464">
        <w:rPr>
          <w:rFonts w:asciiTheme="majorBidi" w:hAnsiTheme="majorBidi" w:cstheme="majorBidi"/>
          <w:shd w:val="clear" w:color="auto" w:fill="FFFFFF"/>
          <w:lang w:val="en-US"/>
        </w:rPr>
        <w:t>9.</w:t>
      </w:r>
    </w:p>
    <w:p w14:paraId="5375DC21" w14:textId="1C892214" w:rsidR="008A4933" w:rsidRDefault="008A4933" w:rsidP="008A4933">
      <w:pPr>
        <w:spacing w:line="360" w:lineRule="auto"/>
        <w:rPr>
          <w:rFonts w:asciiTheme="majorBidi" w:hAnsiTheme="majorBidi" w:cstheme="majorBidi"/>
        </w:rPr>
      </w:pPr>
      <w:proofErr w:type="spellStart"/>
      <w:r w:rsidRPr="008A4933">
        <w:rPr>
          <w:rFonts w:asciiTheme="majorBidi" w:hAnsiTheme="majorBidi" w:cstheme="majorBidi"/>
        </w:rPr>
        <w:t>Audoin-Rouzeau</w:t>
      </w:r>
      <w:proofErr w:type="spellEnd"/>
      <w:r>
        <w:rPr>
          <w:rFonts w:asciiTheme="majorBidi" w:hAnsiTheme="majorBidi" w:cstheme="majorBidi" w:hint="cs"/>
          <w:rtl/>
        </w:rPr>
        <w:t xml:space="preserve"> </w:t>
      </w:r>
      <w:r w:rsidRPr="008A4933">
        <w:rPr>
          <w:rFonts w:asciiTheme="majorBidi" w:hAnsiTheme="majorBidi" w:cstheme="majorBidi"/>
        </w:rPr>
        <w:t xml:space="preserve">Stéphane, « Les Champs d'honneur, et ce que les historiens de la Grande Guerre ne voyaient pas », </w:t>
      </w:r>
      <w:r w:rsidRPr="008A4933">
        <w:rPr>
          <w:rFonts w:asciiTheme="majorBidi" w:hAnsiTheme="majorBidi" w:cstheme="majorBidi"/>
          <w:i/>
          <w:iCs/>
        </w:rPr>
        <w:t>Roman français contemporain face à l'Histoire : thèmes et formes</w:t>
      </w:r>
      <w:r w:rsidRPr="008A4933">
        <w:rPr>
          <w:rFonts w:asciiTheme="majorBidi" w:hAnsiTheme="majorBidi" w:cstheme="majorBidi"/>
        </w:rPr>
        <w:t xml:space="preserve">, Macerata, </w:t>
      </w:r>
      <w:proofErr w:type="spellStart"/>
      <w:r w:rsidRPr="008A4933">
        <w:rPr>
          <w:rFonts w:asciiTheme="majorBidi" w:hAnsiTheme="majorBidi" w:cstheme="majorBidi"/>
        </w:rPr>
        <w:t>Quodlibet</w:t>
      </w:r>
      <w:proofErr w:type="spellEnd"/>
      <w:r w:rsidRPr="008A4933">
        <w:rPr>
          <w:rFonts w:asciiTheme="majorBidi" w:hAnsiTheme="majorBidi" w:cstheme="majorBidi"/>
        </w:rPr>
        <w:t>, 2014, p. 249-257</w:t>
      </w:r>
      <w:r>
        <w:rPr>
          <w:rFonts w:asciiTheme="majorBidi" w:hAnsiTheme="majorBidi" w:cstheme="majorBidi"/>
        </w:rPr>
        <w:t>.</w:t>
      </w:r>
    </w:p>
    <w:p w14:paraId="46CFE59E" w14:textId="46234E0B" w:rsidR="00B17D18" w:rsidRDefault="00B17D18" w:rsidP="00B17D18">
      <w:pPr>
        <w:spacing w:line="360" w:lineRule="auto"/>
        <w:jc w:val="both"/>
        <w:rPr>
          <w:rFonts w:asciiTheme="majorBidi" w:hAnsiTheme="majorBidi" w:cstheme="majorBidi"/>
        </w:rPr>
      </w:pPr>
      <w:proofErr w:type="spellStart"/>
      <w:r w:rsidRPr="00163464">
        <w:rPr>
          <w:rFonts w:asciiTheme="majorBidi" w:hAnsiTheme="majorBidi" w:cstheme="majorBidi"/>
        </w:rPr>
        <w:t>Barjonet</w:t>
      </w:r>
      <w:proofErr w:type="spellEnd"/>
      <w:r w:rsidRPr="00163464">
        <w:rPr>
          <w:rFonts w:asciiTheme="majorBidi" w:hAnsiTheme="majorBidi" w:cstheme="majorBidi"/>
        </w:rPr>
        <w:t xml:space="preserve"> Aurélie, </w:t>
      </w:r>
      <w:r w:rsidRPr="00163464">
        <w:rPr>
          <w:rFonts w:asciiTheme="majorBidi" w:hAnsiTheme="majorBidi" w:cstheme="majorBidi"/>
          <w:i/>
          <w:iCs/>
        </w:rPr>
        <w:t>L</w:t>
      </w:r>
      <w:r>
        <w:rPr>
          <w:rFonts w:asciiTheme="majorBidi" w:hAnsiTheme="majorBidi" w:cstheme="majorBidi"/>
          <w:i/>
          <w:iCs/>
        </w:rPr>
        <w:t>’</w:t>
      </w:r>
      <w:r w:rsidRPr="00163464">
        <w:rPr>
          <w:rFonts w:asciiTheme="majorBidi" w:hAnsiTheme="majorBidi" w:cstheme="majorBidi"/>
          <w:i/>
          <w:iCs/>
        </w:rPr>
        <w:t>ère des non-témoins</w:t>
      </w:r>
      <w:r>
        <w:rPr>
          <w:rFonts w:asciiTheme="majorBidi" w:hAnsiTheme="majorBidi" w:cstheme="majorBidi"/>
          <w:i/>
          <w:iCs/>
        </w:rPr>
        <w:t> </w:t>
      </w:r>
      <w:r w:rsidRPr="00163464">
        <w:rPr>
          <w:rFonts w:asciiTheme="majorBidi" w:hAnsiTheme="majorBidi" w:cstheme="majorBidi"/>
          <w:i/>
          <w:iCs/>
        </w:rPr>
        <w:t>: la littérature de</w:t>
      </w:r>
      <w:r>
        <w:rPr>
          <w:rFonts w:asciiTheme="majorBidi" w:hAnsiTheme="majorBidi" w:cstheme="majorBidi"/>
          <w:i/>
          <w:iCs/>
        </w:rPr>
        <w:t>s</w:t>
      </w:r>
      <w:r w:rsidRPr="00163464">
        <w:rPr>
          <w:rFonts w:asciiTheme="majorBidi" w:hAnsiTheme="majorBidi" w:cstheme="majorBidi"/>
          <w:i/>
          <w:iCs/>
        </w:rPr>
        <w:t xml:space="preserve"> petits-enfants de la Shoah</w:t>
      </w:r>
      <w:r w:rsidRPr="00163464">
        <w:rPr>
          <w:rFonts w:asciiTheme="majorBidi" w:hAnsiTheme="majorBidi" w:cstheme="majorBidi"/>
        </w:rPr>
        <w:t xml:space="preserve">, Paris, Edition </w:t>
      </w:r>
      <w:proofErr w:type="spellStart"/>
      <w:r w:rsidRPr="00163464">
        <w:rPr>
          <w:rFonts w:asciiTheme="majorBidi" w:hAnsiTheme="majorBidi" w:cstheme="majorBidi"/>
        </w:rPr>
        <w:t>Kimé</w:t>
      </w:r>
      <w:proofErr w:type="spellEnd"/>
      <w:r w:rsidRPr="00163464">
        <w:rPr>
          <w:rFonts w:asciiTheme="majorBidi" w:hAnsiTheme="majorBidi" w:cstheme="majorBidi"/>
        </w:rPr>
        <w:t>, 2022</w:t>
      </w:r>
      <w:r>
        <w:rPr>
          <w:rFonts w:asciiTheme="majorBidi" w:hAnsiTheme="majorBidi" w:cstheme="majorBidi"/>
        </w:rPr>
        <w:t>.</w:t>
      </w:r>
    </w:p>
    <w:p w14:paraId="30A8AFD9" w14:textId="6547D7B3" w:rsidR="00B17D18" w:rsidRDefault="00B17D18" w:rsidP="00B17D18">
      <w:pPr>
        <w:spacing w:line="360" w:lineRule="auto"/>
        <w:jc w:val="both"/>
        <w:rPr>
          <w:rFonts w:asciiTheme="majorBidi" w:hAnsiTheme="majorBidi" w:cstheme="majorBidi"/>
        </w:rPr>
      </w:pPr>
      <w:r w:rsidRPr="00163464">
        <w:rPr>
          <w:rFonts w:asciiTheme="majorBidi" w:hAnsiTheme="majorBidi" w:cstheme="majorBidi"/>
          <w:color w:val="000000"/>
          <w:shd w:val="clear" w:color="auto" w:fill="FFFFFF"/>
          <w:lang w:eastAsia="fr-FR"/>
        </w:rPr>
        <w:t>Benveniste Émile,</w:t>
      </w:r>
      <w:r w:rsidRPr="00163464">
        <w:rPr>
          <w:rFonts w:asciiTheme="majorBidi" w:hAnsiTheme="majorBidi" w:cstheme="majorBidi"/>
          <w:color w:val="000000"/>
          <w:lang w:eastAsia="fr-FR"/>
        </w:rPr>
        <w:t xml:space="preserve"> </w:t>
      </w:r>
      <w:r w:rsidRPr="00163464">
        <w:rPr>
          <w:rFonts w:asciiTheme="majorBidi" w:hAnsiTheme="majorBidi" w:cstheme="majorBidi"/>
          <w:i/>
          <w:iCs/>
          <w:color w:val="000000"/>
          <w:shd w:val="clear" w:color="auto" w:fill="FFFFFF"/>
          <w:lang w:eastAsia="fr-FR"/>
        </w:rPr>
        <w:t>Le Vocabulaire des institutions indo-européennes</w:t>
      </w:r>
      <w:r w:rsidRPr="00163464">
        <w:rPr>
          <w:rFonts w:asciiTheme="majorBidi" w:hAnsiTheme="majorBidi" w:cstheme="majorBidi"/>
          <w:color w:val="000000"/>
          <w:shd w:val="clear" w:color="auto" w:fill="FFFFFF"/>
          <w:lang w:eastAsia="fr-FR"/>
        </w:rPr>
        <w:t>, Paris, Minuit, 1969</w:t>
      </w:r>
      <w:r>
        <w:rPr>
          <w:rFonts w:asciiTheme="majorBidi" w:hAnsiTheme="majorBidi" w:cstheme="majorBidi"/>
          <w:color w:val="000000"/>
          <w:shd w:val="clear" w:color="auto" w:fill="FFFFFF"/>
        </w:rPr>
        <w:t>.</w:t>
      </w:r>
    </w:p>
    <w:p w14:paraId="526EDC51" w14:textId="77777777" w:rsidR="00B17D18" w:rsidRDefault="00B17D18" w:rsidP="00B17D18">
      <w:pPr>
        <w:pStyle w:val="Footnote"/>
        <w:spacing w:line="360" w:lineRule="auto"/>
        <w:jc w:val="both"/>
        <w:rPr>
          <w:rFonts w:asciiTheme="majorBidi" w:hAnsiTheme="majorBidi" w:cstheme="majorBidi"/>
          <w:sz w:val="24"/>
          <w:szCs w:val="24"/>
        </w:rPr>
      </w:pPr>
      <w:proofErr w:type="spellStart"/>
      <w:r w:rsidRPr="00163464">
        <w:rPr>
          <w:rFonts w:asciiTheme="majorBidi" w:hAnsiTheme="majorBidi" w:cstheme="majorBidi"/>
          <w:sz w:val="24"/>
          <w:szCs w:val="24"/>
        </w:rPr>
        <w:t>Ducas</w:t>
      </w:r>
      <w:proofErr w:type="spellEnd"/>
      <w:r w:rsidRPr="00163464">
        <w:rPr>
          <w:rFonts w:asciiTheme="majorBidi" w:hAnsiTheme="majorBidi" w:cstheme="majorBidi"/>
          <w:sz w:val="24"/>
          <w:szCs w:val="24"/>
        </w:rPr>
        <w:t xml:space="preserve"> Sylvie, </w:t>
      </w:r>
      <w:r w:rsidRPr="00163464">
        <w:rPr>
          <w:rFonts w:asciiTheme="majorBidi" w:hAnsiTheme="majorBidi" w:cstheme="majorBidi"/>
          <w:i/>
          <w:iCs/>
          <w:sz w:val="24"/>
          <w:szCs w:val="24"/>
        </w:rPr>
        <w:t>Jean Rouaud</w:t>
      </w:r>
      <w:r>
        <w:rPr>
          <w:rFonts w:asciiTheme="majorBidi" w:hAnsiTheme="majorBidi" w:cstheme="majorBidi"/>
          <w:i/>
          <w:iCs/>
          <w:sz w:val="24"/>
          <w:szCs w:val="24"/>
        </w:rPr>
        <w:t> </w:t>
      </w:r>
      <w:r w:rsidRPr="00163464">
        <w:rPr>
          <w:rFonts w:asciiTheme="majorBidi" w:hAnsiTheme="majorBidi" w:cstheme="majorBidi"/>
          <w:i/>
          <w:iCs/>
          <w:sz w:val="24"/>
          <w:szCs w:val="24"/>
        </w:rPr>
        <w:t>: Les Champs d</w:t>
      </w:r>
      <w:r>
        <w:rPr>
          <w:rFonts w:asciiTheme="majorBidi" w:hAnsiTheme="majorBidi" w:cstheme="majorBidi"/>
          <w:i/>
          <w:iCs/>
          <w:sz w:val="24"/>
          <w:szCs w:val="24"/>
        </w:rPr>
        <w:t>’</w:t>
      </w:r>
      <w:r w:rsidRPr="00163464">
        <w:rPr>
          <w:rFonts w:asciiTheme="majorBidi" w:hAnsiTheme="majorBidi" w:cstheme="majorBidi"/>
          <w:i/>
          <w:iCs/>
          <w:sz w:val="24"/>
          <w:szCs w:val="24"/>
        </w:rPr>
        <w:t>honneur, Pour vos cadeau</w:t>
      </w:r>
      <w:r w:rsidRPr="00163464">
        <w:rPr>
          <w:rFonts w:asciiTheme="majorBidi" w:hAnsiTheme="majorBidi" w:cstheme="majorBidi"/>
          <w:sz w:val="24"/>
          <w:szCs w:val="24"/>
        </w:rPr>
        <w:t xml:space="preserve">, </w:t>
      </w:r>
      <w:r>
        <w:rPr>
          <w:rFonts w:asciiTheme="majorBidi" w:hAnsiTheme="majorBidi" w:cstheme="majorBidi"/>
          <w:sz w:val="24"/>
          <w:szCs w:val="24"/>
        </w:rPr>
        <w:t xml:space="preserve">Paris, Hatier, 2006. </w:t>
      </w:r>
    </w:p>
    <w:p w14:paraId="0206EA05" w14:textId="77777777" w:rsidR="00B17D18" w:rsidRPr="004263EC" w:rsidRDefault="00B17D18" w:rsidP="00B17D18">
      <w:pPr>
        <w:pStyle w:val="Notedebasdepage"/>
        <w:spacing w:line="360" w:lineRule="auto"/>
        <w:jc w:val="both"/>
        <w:rPr>
          <w:rFonts w:asciiTheme="majorBidi" w:hAnsiTheme="majorBidi"/>
          <w:sz w:val="24"/>
          <w:lang w:val="en-US"/>
        </w:rPr>
      </w:pPr>
      <w:proofErr w:type="spellStart"/>
      <w:r w:rsidRPr="004263EC">
        <w:rPr>
          <w:rFonts w:asciiTheme="majorBidi" w:hAnsiTheme="majorBidi"/>
          <w:sz w:val="24"/>
          <w:lang w:val="en-US"/>
        </w:rPr>
        <w:t>Felman</w:t>
      </w:r>
      <w:proofErr w:type="spellEnd"/>
      <w:r w:rsidRPr="004263EC">
        <w:rPr>
          <w:rFonts w:asciiTheme="majorBidi" w:hAnsiTheme="majorBidi"/>
          <w:sz w:val="24"/>
          <w:lang w:val="en-US"/>
        </w:rPr>
        <w:t xml:space="preserve"> Shoshana, “The Return of the Voice: Claude Lanzmann’s Shoah”’, </w:t>
      </w:r>
      <w:r w:rsidRPr="004263EC">
        <w:rPr>
          <w:rFonts w:asciiTheme="majorBidi" w:hAnsiTheme="majorBidi"/>
          <w:i/>
          <w:sz w:val="24"/>
          <w:lang w:val="en-US"/>
        </w:rPr>
        <w:t>The Holocaust: Theoretical Readings</w:t>
      </w:r>
      <w:r w:rsidRPr="004263EC">
        <w:rPr>
          <w:rFonts w:asciiTheme="majorBidi" w:hAnsiTheme="majorBidi"/>
          <w:sz w:val="24"/>
          <w:lang w:val="en-US"/>
        </w:rPr>
        <w:t>, Edinburgh, Edinburgh University Press, 2003, p. 360–368.</w:t>
      </w:r>
    </w:p>
    <w:p w14:paraId="5E4C6615" w14:textId="77777777" w:rsidR="00B17D18" w:rsidRDefault="00B17D18" w:rsidP="00B17D18">
      <w:pPr>
        <w:spacing w:line="360" w:lineRule="auto"/>
        <w:jc w:val="both"/>
        <w:rPr>
          <w:rFonts w:asciiTheme="majorBidi" w:hAnsiTheme="majorBidi" w:cstheme="majorBidi"/>
        </w:rPr>
      </w:pPr>
      <w:r w:rsidRPr="00163464">
        <w:rPr>
          <w:rFonts w:asciiTheme="majorBidi" w:eastAsia="David" w:hAnsiTheme="majorBidi" w:cstheme="majorBidi"/>
          <w:color w:val="000000"/>
        </w:rPr>
        <w:t xml:space="preserve">Geneviève </w:t>
      </w:r>
      <w:proofErr w:type="spellStart"/>
      <w:r w:rsidRPr="00163464">
        <w:rPr>
          <w:rFonts w:asciiTheme="majorBidi" w:eastAsia="David" w:hAnsiTheme="majorBidi" w:cstheme="majorBidi"/>
          <w:color w:val="000000"/>
        </w:rPr>
        <w:t>Salvan</w:t>
      </w:r>
      <w:proofErr w:type="spellEnd"/>
      <w:r w:rsidRPr="00163464">
        <w:rPr>
          <w:rFonts w:asciiTheme="majorBidi" w:eastAsia="David" w:hAnsiTheme="majorBidi" w:cstheme="majorBidi"/>
          <w:color w:val="000000"/>
        </w:rPr>
        <w:t xml:space="preserve">, </w:t>
      </w:r>
      <w:r w:rsidRPr="00163464">
        <w:rPr>
          <w:rFonts w:asciiTheme="majorBidi" w:hAnsiTheme="majorBidi" w:cstheme="majorBidi"/>
          <w:i/>
          <w:iCs/>
          <w:color w:val="000000"/>
          <w:shd w:val="clear" w:color="auto" w:fill="FFFFFF"/>
        </w:rPr>
        <w:t>Jean Rouaud, L</w:t>
      </w:r>
      <w:r>
        <w:rPr>
          <w:rFonts w:asciiTheme="majorBidi" w:hAnsiTheme="majorBidi" w:cstheme="majorBidi"/>
          <w:i/>
          <w:iCs/>
          <w:color w:val="000000"/>
          <w:shd w:val="clear" w:color="auto" w:fill="FFFFFF"/>
        </w:rPr>
        <w:t>’</w:t>
      </w:r>
      <w:r w:rsidRPr="00163464">
        <w:rPr>
          <w:rFonts w:asciiTheme="majorBidi" w:hAnsiTheme="majorBidi" w:cstheme="majorBidi"/>
          <w:i/>
          <w:iCs/>
          <w:color w:val="000000"/>
          <w:shd w:val="clear" w:color="auto" w:fill="FFFFFF"/>
        </w:rPr>
        <w:t>écriture et la Voix</w:t>
      </w:r>
      <w:r w:rsidRPr="00163464">
        <w:rPr>
          <w:rFonts w:asciiTheme="majorBidi" w:hAnsiTheme="majorBidi" w:cstheme="majorBidi"/>
          <w:color w:val="000000"/>
          <w:shd w:val="clear" w:color="auto" w:fill="FFFFFF"/>
        </w:rPr>
        <w:t>, Paris, Harmattan, 2012</w:t>
      </w:r>
      <w:r w:rsidRPr="00163464">
        <w:rPr>
          <w:rFonts w:asciiTheme="majorBidi" w:hAnsiTheme="majorBidi" w:cstheme="majorBidi"/>
        </w:rPr>
        <w:t>.</w:t>
      </w:r>
    </w:p>
    <w:p w14:paraId="33F50A2D" w14:textId="77777777" w:rsidR="00B17D18" w:rsidRPr="00F42FE7" w:rsidRDefault="00B17D18" w:rsidP="00B17D18">
      <w:pPr>
        <w:pStyle w:val="Notedebasdepage"/>
        <w:spacing w:line="360" w:lineRule="auto"/>
        <w:jc w:val="both"/>
        <w:rPr>
          <w:rFonts w:asciiTheme="majorBidi" w:hAnsiTheme="majorBidi"/>
          <w:sz w:val="24"/>
        </w:rPr>
      </w:pPr>
      <w:proofErr w:type="spellStart"/>
      <w:r w:rsidRPr="00C10B0A">
        <w:rPr>
          <w:rFonts w:asciiTheme="majorBidi" w:hAnsiTheme="majorBidi"/>
          <w:sz w:val="24"/>
        </w:rPr>
        <w:t>Hirsch</w:t>
      </w:r>
      <w:proofErr w:type="spellEnd"/>
      <w:r w:rsidRPr="00C10B0A">
        <w:rPr>
          <w:rFonts w:asciiTheme="majorBidi" w:hAnsiTheme="majorBidi"/>
          <w:sz w:val="24"/>
        </w:rPr>
        <w:t xml:space="preserve"> Marianne, « </w:t>
      </w:r>
      <w:proofErr w:type="spellStart"/>
      <w:r w:rsidRPr="00C10B0A">
        <w:rPr>
          <w:rFonts w:asciiTheme="majorBidi" w:hAnsiTheme="majorBidi"/>
          <w:sz w:val="24"/>
        </w:rPr>
        <w:t>Postmémoire</w:t>
      </w:r>
      <w:proofErr w:type="spellEnd"/>
      <w:r w:rsidRPr="00C10B0A">
        <w:rPr>
          <w:rFonts w:asciiTheme="majorBidi" w:hAnsiTheme="majorBidi"/>
          <w:sz w:val="24"/>
        </w:rPr>
        <w:t> </w:t>
      </w:r>
      <w:r w:rsidRPr="00F42FE7">
        <w:rPr>
          <w:rFonts w:asciiTheme="majorBidi" w:hAnsiTheme="majorBidi"/>
          <w:sz w:val="24"/>
        </w:rPr>
        <w:t xml:space="preserve">», Traduction de Philippe </w:t>
      </w:r>
      <w:proofErr w:type="spellStart"/>
      <w:r w:rsidRPr="00F42FE7">
        <w:rPr>
          <w:rFonts w:asciiTheme="majorBidi" w:hAnsiTheme="majorBidi"/>
          <w:sz w:val="24"/>
        </w:rPr>
        <w:t>Mesnard</w:t>
      </w:r>
      <w:proofErr w:type="spellEnd"/>
      <w:r w:rsidRPr="00F42FE7">
        <w:rPr>
          <w:rFonts w:asciiTheme="majorBidi" w:hAnsiTheme="majorBidi"/>
          <w:sz w:val="24"/>
        </w:rPr>
        <w:t xml:space="preserve">, </w:t>
      </w:r>
      <w:r w:rsidRPr="00F42FE7">
        <w:rPr>
          <w:rFonts w:asciiTheme="majorBidi" w:hAnsiTheme="majorBidi"/>
          <w:i/>
          <w:sz w:val="24"/>
        </w:rPr>
        <w:t>Témoigner, Dictionnaire testimonial et mémoriel, Entre histoire et mémoire</w:t>
      </w:r>
      <w:r w:rsidRPr="004263EC">
        <w:rPr>
          <w:rFonts w:asciiTheme="majorBidi" w:hAnsiTheme="majorBidi"/>
          <w:sz w:val="24"/>
        </w:rPr>
        <w:t xml:space="preserve">, </w:t>
      </w:r>
      <w:r>
        <w:rPr>
          <w:rFonts w:asciiTheme="majorBidi" w:hAnsiTheme="majorBidi" w:cstheme="majorBidi"/>
          <w:sz w:val="24"/>
          <w:szCs w:val="24"/>
        </w:rPr>
        <w:t>n°</w:t>
      </w:r>
      <w:r w:rsidRPr="00C10B0A">
        <w:rPr>
          <w:rFonts w:asciiTheme="majorBidi" w:hAnsiTheme="majorBidi"/>
          <w:sz w:val="24"/>
        </w:rPr>
        <w:t>118, 2014, p. 205-206.</w:t>
      </w:r>
    </w:p>
    <w:p w14:paraId="5A9422F5" w14:textId="102ADFFF" w:rsidR="00B17D18" w:rsidRDefault="00B17D18" w:rsidP="00B17D18">
      <w:pPr>
        <w:spacing w:line="360" w:lineRule="auto"/>
        <w:jc w:val="both"/>
        <w:rPr>
          <w:rFonts w:asciiTheme="majorBidi" w:hAnsiTheme="majorBidi" w:cstheme="majorBidi"/>
          <w:shd w:val="clear" w:color="auto" w:fill="FFFFFF"/>
        </w:rPr>
      </w:pPr>
      <w:proofErr w:type="spellStart"/>
      <w:r w:rsidRPr="00163464">
        <w:rPr>
          <w:rFonts w:asciiTheme="majorBidi" w:hAnsiTheme="majorBidi" w:cstheme="majorBidi"/>
          <w:shd w:val="clear" w:color="auto" w:fill="FFFFFF"/>
        </w:rPr>
        <w:t>Linhardt</w:t>
      </w:r>
      <w:proofErr w:type="spellEnd"/>
      <w:r w:rsidRPr="00163464">
        <w:rPr>
          <w:rFonts w:asciiTheme="majorBidi" w:hAnsiTheme="majorBidi" w:cstheme="majorBidi"/>
          <w:shd w:val="clear" w:color="auto" w:fill="FFFFFF"/>
        </w:rPr>
        <w:t xml:space="preserve"> Dominique</w:t>
      </w:r>
      <w:r>
        <w:rPr>
          <w:rFonts w:asciiTheme="majorBidi" w:hAnsiTheme="majorBidi" w:cstheme="majorBidi"/>
          <w:shd w:val="clear" w:color="auto" w:fill="FFFFFF"/>
        </w:rPr>
        <w:t xml:space="preserve"> et </w:t>
      </w:r>
      <w:r w:rsidRPr="00163464">
        <w:rPr>
          <w:rFonts w:asciiTheme="majorBidi" w:hAnsiTheme="majorBidi" w:cstheme="majorBidi"/>
          <w:shd w:val="clear" w:color="auto" w:fill="FFFFFF"/>
        </w:rPr>
        <w:t xml:space="preserve">Cédric Moreau de </w:t>
      </w:r>
      <w:proofErr w:type="spellStart"/>
      <w:r w:rsidRPr="00163464">
        <w:rPr>
          <w:rFonts w:asciiTheme="majorBidi" w:hAnsiTheme="majorBidi" w:cstheme="majorBidi"/>
          <w:shd w:val="clear" w:color="auto" w:fill="FFFFFF"/>
        </w:rPr>
        <w:t>Bellaing</w:t>
      </w:r>
      <w:proofErr w:type="spellEnd"/>
      <w:r w:rsidRPr="00163464">
        <w:rPr>
          <w:rFonts w:asciiTheme="majorBidi" w:hAnsiTheme="majorBidi" w:cstheme="majorBidi"/>
          <w:shd w:val="clear" w:color="auto" w:fill="FFFFFF"/>
        </w:rPr>
        <w:t xml:space="preserve">, </w:t>
      </w:r>
      <w:r w:rsidRPr="00163464">
        <w:rPr>
          <w:rFonts w:asciiTheme="majorBidi" w:hAnsiTheme="majorBidi" w:cstheme="majorBidi"/>
        </w:rPr>
        <w:t>«</w:t>
      </w:r>
      <w:r>
        <w:rPr>
          <w:rFonts w:asciiTheme="majorBidi" w:hAnsiTheme="majorBidi" w:cstheme="majorBidi"/>
        </w:rPr>
        <w:t> </w:t>
      </w:r>
      <w:r w:rsidRPr="00163464">
        <w:rPr>
          <w:rFonts w:asciiTheme="majorBidi" w:hAnsiTheme="majorBidi" w:cstheme="majorBidi"/>
          <w:shd w:val="clear" w:color="auto" w:fill="FFFFFF"/>
        </w:rPr>
        <w:t xml:space="preserve">Ni guerre, ni paix. Dislocations de l’ordre </w:t>
      </w:r>
      <w:proofErr w:type="spellStart"/>
      <w:r w:rsidRPr="00163464">
        <w:rPr>
          <w:rFonts w:asciiTheme="majorBidi" w:hAnsiTheme="majorBidi" w:cstheme="majorBidi"/>
          <w:shd w:val="clear" w:color="auto" w:fill="FFFFFF"/>
        </w:rPr>
        <w:t>po-litique</w:t>
      </w:r>
      <w:proofErr w:type="spellEnd"/>
      <w:r w:rsidRPr="00163464">
        <w:rPr>
          <w:rFonts w:asciiTheme="majorBidi" w:hAnsiTheme="majorBidi" w:cstheme="majorBidi"/>
          <w:shd w:val="clear" w:color="auto" w:fill="FFFFFF"/>
        </w:rPr>
        <w:t xml:space="preserve"> et décantonnements de la guerre</w:t>
      </w:r>
      <w:r>
        <w:rPr>
          <w:rFonts w:asciiTheme="majorBidi" w:hAnsiTheme="majorBidi" w:cstheme="majorBidi"/>
          <w:shd w:val="clear" w:color="auto" w:fill="FFFFFF"/>
        </w:rPr>
        <w:t> </w:t>
      </w:r>
      <w:r w:rsidRPr="00163464">
        <w:rPr>
          <w:rFonts w:asciiTheme="majorBidi" w:hAnsiTheme="majorBidi" w:cstheme="majorBidi"/>
        </w:rPr>
        <w:t>»,</w:t>
      </w:r>
      <w:r w:rsidRPr="00163464">
        <w:rPr>
          <w:rFonts w:asciiTheme="majorBidi" w:hAnsiTheme="majorBidi" w:cstheme="majorBidi"/>
          <w:shd w:val="clear" w:color="auto" w:fill="FFFFFF"/>
        </w:rPr>
        <w:t xml:space="preserve"> </w:t>
      </w:r>
      <w:proofErr w:type="spellStart"/>
      <w:r w:rsidRPr="00163464">
        <w:rPr>
          <w:rFonts w:asciiTheme="majorBidi" w:hAnsiTheme="majorBidi" w:cstheme="majorBidi"/>
          <w:i/>
          <w:iCs/>
          <w:shd w:val="clear" w:color="auto" w:fill="FFFFFF"/>
        </w:rPr>
        <w:t>Politix</w:t>
      </w:r>
      <w:proofErr w:type="spellEnd"/>
      <w:r w:rsidRPr="00163464">
        <w:rPr>
          <w:rFonts w:asciiTheme="majorBidi" w:hAnsiTheme="majorBidi" w:cstheme="majorBidi"/>
          <w:shd w:val="clear" w:color="auto" w:fill="FFFFFF"/>
        </w:rPr>
        <w:t>, vol.</w:t>
      </w:r>
      <w:r>
        <w:rPr>
          <w:rFonts w:asciiTheme="majorBidi" w:hAnsiTheme="majorBidi" w:cstheme="majorBidi"/>
          <w:shd w:val="clear" w:color="auto" w:fill="FFFFFF"/>
        </w:rPr>
        <w:t> </w:t>
      </w:r>
      <w:r w:rsidRPr="00163464">
        <w:rPr>
          <w:rFonts w:asciiTheme="majorBidi" w:hAnsiTheme="majorBidi" w:cstheme="majorBidi"/>
          <w:shd w:val="clear" w:color="auto" w:fill="FFFFFF"/>
        </w:rPr>
        <w:t>104</w:t>
      </w:r>
      <w:r>
        <w:rPr>
          <w:rFonts w:asciiTheme="majorBidi" w:hAnsiTheme="majorBidi" w:cstheme="majorBidi"/>
          <w:shd w:val="clear" w:color="auto" w:fill="FFFFFF"/>
        </w:rPr>
        <w:t>,</w:t>
      </w:r>
      <w:r w:rsidRPr="00163464">
        <w:rPr>
          <w:rFonts w:asciiTheme="majorBidi" w:hAnsiTheme="majorBidi" w:cstheme="majorBidi"/>
          <w:shd w:val="clear" w:color="auto" w:fill="FFFFFF"/>
        </w:rPr>
        <w:t xml:space="preserve"> n°</w:t>
      </w:r>
      <w:r>
        <w:rPr>
          <w:rFonts w:asciiTheme="majorBidi" w:hAnsiTheme="majorBidi" w:cstheme="majorBidi"/>
          <w:shd w:val="clear" w:color="auto" w:fill="FFFFFF"/>
        </w:rPr>
        <w:t> </w:t>
      </w:r>
      <w:r w:rsidRPr="00163464">
        <w:rPr>
          <w:rFonts w:asciiTheme="majorBidi" w:hAnsiTheme="majorBidi" w:cstheme="majorBidi"/>
          <w:shd w:val="clear" w:color="auto" w:fill="FFFFFF"/>
        </w:rPr>
        <w:t>4, 2013, p.</w:t>
      </w:r>
      <w:r>
        <w:rPr>
          <w:rFonts w:asciiTheme="majorBidi" w:hAnsiTheme="majorBidi" w:cstheme="majorBidi"/>
          <w:shd w:val="clear" w:color="auto" w:fill="FFFFFF"/>
        </w:rPr>
        <w:t> </w:t>
      </w:r>
      <w:r w:rsidRPr="00163464">
        <w:rPr>
          <w:rFonts w:asciiTheme="majorBidi" w:hAnsiTheme="majorBidi" w:cstheme="majorBidi"/>
          <w:shd w:val="clear" w:color="auto" w:fill="FFFFFF"/>
        </w:rPr>
        <w:t>7-23.</w:t>
      </w:r>
    </w:p>
    <w:p w14:paraId="599296F9" w14:textId="4D9E174E" w:rsidR="008A4933" w:rsidRPr="008A4933" w:rsidRDefault="008A4933" w:rsidP="00B17D18">
      <w:pPr>
        <w:pStyle w:val="Standarduser"/>
        <w:spacing w:line="360" w:lineRule="auto"/>
        <w:jc w:val="both"/>
        <w:rPr>
          <w:rFonts w:asciiTheme="majorBidi" w:hAnsiTheme="majorBidi" w:cstheme="majorBidi"/>
          <w:lang w:val="en-US"/>
        </w:rPr>
      </w:pPr>
      <w:r w:rsidRPr="000D33B1">
        <w:rPr>
          <w:lang w:val="en-US"/>
        </w:rPr>
        <w:t>Lynn Hynes</w:t>
      </w:r>
      <w:r>
        <w:rPr>
          <w:lang w:val="en-US"/>
        </w:rPr>
        <w:t xml:space="preserve"> </w:t>
      </w:r>
      <w:r w:rsidRPr="000D33B1">
        <w:rPr>
          <w:lang w:val="en-US"/>
        </w:rPr>
        <w:t xml:space="preserve">Samuel, </w:t>
      </w:r>
      <w:r w:rsidRPr="00CA1F90">
        <w:rPr>
          <w:i/>
          <w:iCs/>
          <w:lang w:val="en-US"/>
        </w:rPr>
        <w:t>The Soldiers’ Tale: Bearing Witness to Modern War</w:t>
      </w:r>
      <w:r>
        <w:rPr>
          <w:lang w:val="en-US"/>
        </w:rPr>
        <w:t xml:space="preserve">, </w:t>
      </w:r>
      <w:r w:rsidRPr="000D33B1">
        <w:rPr>
          <w:lang w:val="en-US"/>
        </w:rPr>
        <w:t>New York</w:t>
      </w:r>
      <w:r>
        <w:rPr>
          <w:lang w:val="en-US"/>
        </w:rPr>
        <w:t>,</w:t>
      </w:r>
      <w:r w:rsidRPr="000D33B1">
        <w:rPr>
          <w:lang w:val="en-US"/>
        </w:rPr>
        <w:t xml:space="preserve"> Penguin, 1997</w:t>
      </w:r>
      <w:r>
        <w:rPr>
          <w:lang w:val="en-US"/>
        </w:rPr>
        <w:t>.</w:t>
      </w:r>
    </w:p>
    <w:p w14:paraId="000DFD34" w14:textId="555C8622" w:rsidR="00B17D18" w:rsidRPr="00B15247" w:rsidRDefault="00B17D18" w:rsidP="00B17D18">
      <w:pPr>
        <w:pStyle w:val="Standarduser"/>
        <w:spacing w:line="360" w:lineRule="auto"/>
        <w:jc w:val="both"/>
        <w:rPr>
          <w:rFonts w:asciiTheme="majorBidi" w:hAnsiTheme="majorBidi" w:cstheme="majorBidi"/>
        </w:rPr>
      </w:pPr>
      <w:proofErr w:type="spellStart"/>
      <w:r w:rsidRPr="00163464">
        <w:rPr>
          <w:rFonts w:asciiTheme="majorBidi" w:hAnsiTheme="majorBidi" w:cstheme="majorBidi"/>
        </w:rPr>
        <w:t>Mesnard</w:t>
      </w:r>
      <w:proofErr w:type="spellEnd"/>
      <w:r w:rsidRPr="00163464">
        <w:rPr>
          <w:rFonts w:asciiTheme="majorBidi" w:hAnsiTheme="majorBidi" w:cstheme="majorBidi"/>
        </w:rPr>
        <w:t xml:space="preserve"> Philippe, «</w:t>
      </w:r>
      <w:r>
        <w:rPr>
          <w:rFonts w:asciiTheme="majorBidi" w:hAnsiTheme="majorBidi" w:cstheme="majorBidi"/>
        </w:rPr>
        <w:t> </w:t>
      </w:r>
      <w:r w:rsidRPr="00163464">
        <w:rPr>
          <w:rFonts w:asciiTheme="majorBidi" w:hAnsiTheme="majorBidi" w:cstheme="majorBidi"/>
        </w:rPr>
        <w:t>Ce qu’il nous revient d’affronter</w:t>
      </w:r>
      <w:r>
        <w:rPr>
          <w:rFonts w:asciiTheme="majorBidi" w:hAnsiTheme="majorBidi" w:cstheme="majorBidi"/>
        </w:rPr>
        <w:t> </w:t>
      </w:r>
      <w:r w:rsidRPr="00163464">
        <w:rPr>
          <w:rFonts w:asciiTheme="majorBidi" w:hAnsiTheme="majorBidi" w:cstheme="majorBidi"/>
        </w:rPr>
        <w:t>», </w:t>
      </w:r>
      <w:r w:rsidRPr="00163464">
        <w:rPr>
          <w:rFonts w:asciiTheme="majorBidi" w:hAnsiTheme="majorBidi" w:cstheme="majorBidi"/>
          <w:i/>
          <w:iCs/>
        </w:rPr>
        <w:t>Témoigner. Entre histoire et mémoire</w:t>
      </w:r>
      <w:r>
        <w:rPr>
          <w:rFonts w:asciiTheme="majorBidi" w:hAnsiTheme="majorBidi" w:cstheme="majorBidi"/>
          <w:i/>
          <w:iCs/>
        </w:rPr>
        <w:t>,</w:t>
      </w:r>
      <w:r w:rsidRPr="00163464">
        <w:rPr>
          <w:rFonts w:asciiTheme="majorBidi" w:hAnsiTheme="majorBidi" w:cstheme="majorBidi"/>
        </w:rPr>
        <w:t> </w:t>
      </w:r>
      <w:r>
        <w:rPr>
          <w:rFonts w:asciiTheme="majorBidi" w:hAnsiTheme="majorBidi" w:cstheme="majorBidi"/>
        </w:rPr>
        <w:t>n°</w:t>
      </w:r>
      <w:r w:rsidRPr="00163464">
        <w:rPr>
          <w:rFonts w:asciiTheme="majorBidi" w:hAnsiTheme="majorBidi" w:cstheme="majorBidi"/>
        </w:rPr>
        <w:t>119, 2014, p.</w:t>
      </w:r>
      <w:r>
        <w:rPr>
          <w:rFonts w:asciiTheme="majorBidi" w:hAnsiTheme="majorBidi" w:cstheme="majorBidi"/>
        </w:rPr>
        <w:t> </w:t>
      </w:r>
      <w:r w:rsidRPr="00163464">
        <w:rPr>
          <w:rFonts w:asciiTheme="majorBidi" w:hAnsiTheme="majorBidi" w:cstheme="majorBidi"/>
        </w:rPr>
        <w:t>4-5,</w:t>
      </w:r>
      <w:r>
        <w:rPr>
          <w:rFonts w:asciiTheme="majorBidi" w:hAnsiTheme="majorBidi" w:cstheme="majorBidi"/>
        </w:rPr>
        <w:t xml:space="preserve"> </w:t>
      </w:r>
      <w:r w:rsidRPr="00163464">
        <w:rPr>
          <w:rFonts w:asciiTheme="majorBidi" w:hAnsiTheme="majorBidi" w:cstheme="majorBidi"/>
        </w:rPr>
        <w:t>p.</w:t>
      </w:r>
      <w:r>
        <w:rPr>
          <w:rFonts w:asciiTheme="majorBidi" w:hAnsiTheme="majorBidi" w:cstheme="majorBidi"/>
        </w:rPr>
        <w:t> </w:t>
      </w:r>
      <w:r w:rsidRPr="00163464">
        <w:rPr>
          <w:rFonts w:asciiTheme="majorBidi" w:hAnsiTheme="majorBidi" w:cstheme="majorBidi"/>
        </w:rPr>
        <w:t>4. URL : http://journals.openedition.org/temoigner/1321 </w:t>
      </w:r>
    </w:p>
    <w:p w14:paraId="33B77275" w14:textId="5D1F743A" w:rsidR="00B17D18" w:rsidRPr="00163464" w:rsidRDefault="00B17D18" w:rsidP="00B17D18">
      <w:pPr>
        <w:spacing w:line="360" w:lineRule="auto"/>
        <w:jc w:val="both"/>
        <w:rPr>
          <w:rFonts w:asciiTheme="majorBidi" w:hAnsiTheme="majorBidi" w:cstheme="majorBidi"/>
          <w:rtl/>
          <w:lang w:val="en-US"/>
        </w:rPr>
      </w:pPr>
      <w:r w:rsidRPr="00163464">
        <w:rPr>
          <w:rFonts w:asciiTheme="majorBidi" w:hAnsiTheme="majorBidi" w:cstheme="majorBidi"/>
          <w:shd w:val="clear" w:color="auto" w:fill="FFFFFF"/>
          <w:lang w:val="en-US"/>
        </w:rPr>
        <w:t xml:space="preserve">Savage </w:t>
      </w:r>
      <w:proofErr w:type="spellStart"/>
      <w:r w:rsidRPr="00163464">
        <w:rPr>
          <w:rFonts w:asciiTheme="majorBidi" w:hAnsiTheme="majorBidi" w:cstheme="majorBidi"/>
          <w:shd w:val="clear" w:color="auto" w:fill="FFFFFF"/>
          <w:lang w:val="en-US"/>
        </w:rPr>
        <w:t>Brosman</w:t>
      </w:r>
      <w:proofErr w:type="spellEnd"/>
      <w:r w:rsidRPr="00163464">
        <w:rPr>
          <w:rFonts w:asciiTheme="majorBidi" w:hAnsiTheme="majorBidi" w:cstheme="majorBidi"/>
          <w:shd w:val="clear" w:color="auto" w:fill="FFFFFF"/>
          <w:lang w:val="en-US"/>
        </w:rPr>
        <w:t xml:space="preserve"> Catharine, </w:t>
      </w:r>
      <w:r>
        <w:rPr>
          <w:rFonts w:asciiTheme="majorBidi" w:hAnsiTheme="majorBidi" w:cstheme="majorBidi"/>
          <w:shd w:val="clear" w:color="auto" w:fill="FFFFFF"/>
          <w:lang w:val="en-US"/>
        </w:rPr>
        <w:t>"</w:t>
      </w:r>
      <w:r w:rsidRPr="00163464">
        <w:rPr>
          <w:rFonts w:asciiTheme="majorBidi" w:hAnsiTheme="majorBidi" w:cstheme="majorBidi"/>
          <w:shd w:val="clear" w:color="auto" w:fill="FFFFFF"/>
          <w:lang w:val="en-US"/>
        </w:rPr>
        <w:t>Reading Behind the Lines the Interpretation of War</w:t>
      </w:r>
      <w:r>
        <w:rPr>
          <w:rFonts w:asciiTheme="majorBidi" w:hAnsiTheme="majorBidi" w:cstheme="majorBidi"/>
          <w:shd w:val="clear" w:color="auto" w:fill="FFFFFF"/>
          <w:lang w:val="en-US"/>
        </w:rPr>
        <w:t>"</w:t>
      </w:r>
      <w:r w:rsidRPr="00163464">
        <w:rPr>
          <w:rFonts w:asciiTheme="majorBidi" w:hAnsiTheme="majorBidi" w:cstheme="majorBidi"/>
          <w:shd w:val="clear" w:color="auto" w:fill="FFFFFF"/>
          <w:lang w:val="en-US"/>
        </w:rPr>
        <w:t xml:space="preserve">, </w:t>
      </w:r>
      <w:r w:rsidRPr="00163464">
        <w:rPr>
          <w:rFonts w:asciiTheme="majorBidi" w:hAnsiTheme="majorBidi" w:cstheme="majorBidi"/>
          <w:i/>
          <w:iCs/>
          <w:shd w:val="clear" w:color="auto" w:fill="FFFFFF"/>
          <w:lang w:val="en-US"/>
        </w:rPr>
        <w:t>The Sewanee Review</w:t>
      </w:r>
      <w:r w:rsidRPr="00163464">
        <w:rPr>
          <w:rFonts w:asciiTheme="majorBidi" w:hAnsiTheme="majorBidi" w:cstheme="majorBidi"/>
          <w:shd w:val="clear" w:color="auto" w:fill="FFFFFF"/>
          <w:lang w:val="en-US"/>
        </w:rPr>
        <w:t>, vol.</w:t>
      </w:r>
      <w:r>
        <w:rPr>
          <w:rFonts w:asciiTheme="majorBidi" w:hAnsiTheme="majorBidi" w:cstheme="majorBidi"/>
          <w:shd w:val="clear" w:color="auto" w:fill="FFFFFF"/>
          <w:lang w:val="en-US"/>
        </w:rPr>
        <w:t> </w:t>
      </w:r>
      <w:r w:rsidRPr="00163464">
        <w:rPr>
          <w:rFonts w:asciiTheme="majorBidi" w:hAnsiTheme="majorBidi" w:cstheme="majorBidi"/>
          <w:shd w:val="clear" w:color="auto" w:fill="FFFFFF"/>
          <w:lang w:val="en-US"/>
        </w:rPr>
        <w:t>100, n°</w:t>
      </w:r>
      <w:r>
        <w:rPr>
          <w:rFonts w:asciiTheme="majorBidi" w:hAnsiTheme="majorBidi" w:cstheme="majorBidi"/>
          <w:shd w:val="clear" w:color="auto" w:fill="FFFFFF"/>
          <w:lang w:val="en-US"/>
        </w:rPr>
        <w:t> </w:t>
      </w:r>
      <w:r w:rsidRPr="00163464">
        <w:rPr>
          <w:rFonts w:asciiTheme="majorBidi" w:hAnsiTheme="majorBidi" w:cstheme="majorBidi"/>
          <w:shd w:val="clear" w:color="auto" w:fill="FFFFFF"/>
          <w:lang w:val="en-US"/>
        </w:rPr>
        <w:t>1, 1992, p. 69–97.</w:t>
      </w:r>
    </w:p>
    <w:p w14:paraId="4D440CC4" w14:textId="14364231" w:rsidR="00B17D18" w:rsidRPr="004263EC" w:rsidRDefault="00B17D18" w:rsidP="00921DFC">
      <w:pPr>
        <w:pStyle w:val="Standard"/>
        <w:spacing w:line="360" w:lineRule="auto"/>
        <w:jc w:val="both"/>
        <w:rPr>
          <w:lang w:val="en-US"/>
        </w:rPr>
      </w:pPr>
      <w:r w:rsidRPr="00163464">
        <w:rPr>
          <w:rFonts w:asciiTheme="majorBidi" w:hAnsiTheme="majorBidi" w:cstheme="majorBidi"/>
          <w:lang w:val="en-US"/>
        </w:rPr>
        <w:lastRenderedPageBreak/>
        <w:t xml:space="preserve">Smyth Edmund, </w:t>
      </w:r>
      <w:r>
        <w:rPr>
          <w:rFonts w:asciiTheme="majorBidi" w:hAnsiTheme="majorBidi" w:cstheme="majorBidi"/>
          <w:shd w:val="clear" w:color="auto" w:fill="FFFFFF"/>
          <w:lang w:val="en-US"/>
        </w:rPr>
        <w:t>"</w:t>
      </w:r>
      <w:r w:rsidRPr="00163464">
        <w:rPr>
          <w:rFonts w:asciiTheme="majorBidi" w:hAnsiTheme="majorBidi" w:cstheme="majorBidi"/>
          <w:lang w:val="en-US"/>
        </w:rPr>
        <w:t>The fiction of Jean Rouaud: perception, memory and identity</w:t>
      </w:r>
      <w:r>
        <w:rPr>
          <w:rFonts w:asciiTheme="majorBidi" w:hAnsiTheme="majorBidi" w:cstheme="majorBidi"/>
          <w:shd w:val="clear" w:color="auto" w:fill="FFFFFF"/>
          <w:lang w:val="en-US"/>
        </w:rPr>
        <w:t>"</w:t>
      </w:r>
      <w:r w:rsidRPr="00163464">
        <w:rPr>
          <w:rFonts w:asciiTheme="majorBidi" w:hAnsiTheme="majorBidi" w:cstheme="majorBidi"/>
          <w:lang w:val="en-US"/>
        </w:rPr>
        <w:t>, </w:t>
      </w:r>
      <w:r w:rsidRPr="00163464">
        <w:rPr>
          <w:rFonts w:asciiTheme="majorBidi" w:hAnsiTheme="majorBidi" w:cstheme="majorBidi"/>
          <w:i/>
          <w:iCs/>
          <w:lang w:val="en-US"/>
        </w:rPr>
        <w:t>French Prose in 2000</w:t>
      </w:r>
      <w:r w:rsidRPr="00163464">
        <w:rPr>
          <w:rFonts w:asciiTheme="majorBidi" w:hAnsiTheme="majorBidi" w:cstheme="majorBidi"/>
          <w:lang w:val="en-US"/>
        </w:rPr>
        <w:t>, Leiden, The Netherlands, Brill, 2002, p. 93</w:t>
      </w:r>
      <w:r>
        <w:rPr>
          <w:rFonts w:asciiTheme="majorBidi" w:hAnsiTheme="majorBidi" w:cstheme="majorBidi"/>
          <w:lang w:val="en-US"/>
        </w:rPr>
        <w:t>–</w:t>
      </w:r>
      <w:r w:rsidRPr="00163464">
        <w:rPr>
          <w:rFonts w:asciiTheme="majorBidi" w:hAnsiTheme="majorBidi" w:cstheme="majorBidi"/>
          <w:lang w:val="en-US"/>
        </w:rPr>
        <w:t>101.</w:t>
      </w:r>
    </w:p>
    <w:sectPr w:rsidR="00B17D18" w:rsidRPr="004263EC" w:rsidSect="00656B40">
      <w:headerReference w:type="default" r:id="rId8"/>
      <w:footerReference w:type="even" r:id="rId9"/>
      <w:footerReference w:type="default" r:id="rId10"/>
      <w:pgSz w:w="11906" w:h="16838"/>
      <w:pgMar w:top="1440" w:right="1440" w:bottom="1440" w:left="144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DA615" w14:textId="77777777" w:rsidR="00DA2E10" w:rsidRDefault="00DA2E10" w:rsidP="00B17D18">
      <w:r>
        <w:separator/>
      </w:r>
    </w:p>
  </w:endnote>
  <w:endnote w:type="continuationSeparator" w:id="0">
    <w:p w14:paraId="09C09156" w14:textId="77777777" w:rsidR="00DA2E10" w:rsidRDefault="00DA2E10" w:rsidP="00B17D18">
      <w:r>
        <w:continuationSeparator/>
      </w:r>
    </w:p>
  </w:endnote>
  <w:endnote w:type="continuationNotice" w:id="1">
    <w:p w14:paraId="40952B6C" w14:textId="77777777" w:rsidR="00DA2E10" w:rsidRDefault="00DA2E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David">
    <w:panose1 w:val="020E0502060401010101"/>
    <w:charset w:val="B1"/>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740181413"/>
      <w:docPartObj>
        <w:docPartGallery w:val="Page Numbers (Bottom of Page)"/>
        <w:docPartUnique/>
      </w:docPartObj>
    </w:sdtPr>
    <w:sdtEndPr>
      <w:rPr>
        <w:rStyle w:val="Numrodepage"/>
      </w:rPr>
    </w:sdtEndPr>
    <w:sdtContent>
      <w:p w14:paraId="5137EDC2" w14:textId="132412C6" w:rsidR="00656B40" w:rsidRDefault="00656B40" w:rsidP="004C1212">
        <w:pPr>
          <w:pStyle w:val="Pieddepage"/>
          <w:framePr w:wrap="none" w:vAnchor="text" w:hAnchor="text"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CC4492C" w14:textId="77777777" w:rsidR="00656B40" w:rsidRDefault="00656B4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635610328"/>
      <w:docPartObj>
        <w:docPartGallery w:val="Page Numbers (Bottom of Page)"/>
        <w:docPartUnique/>
      </w:docPartObj>
    </w:sdtPr>
    <w:sdtEndPr>
      <w:rPr>
        <w:rStyle w:val="Numrodepage"/>
      </w:rPr>
    </w:sdtEndPr>
    <w:sdtContent>
      <w:p w14:paraId="4582CAAA" w14:textId="33E4C1C1" w:rsidR="00656B40" w:rsidRDefault="00656B40" w:rsidP="004C1212">
        <w:pPr>
          <w:pStyle w:val="Pieddepage"/>
          <w:framePr w:wrap="none" w:vAnchor="text" w:hAnchor="text"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3D31C06B" w14:textId="77777777" w:rsidR="00C10B0A" w:rsidRDefault="00C10B0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1B10C" w14:textId="77777777" w:rsidR="00DA2E10" w:rsidRDefault="00DA2E10" w:rsidP="00B17D18">
      <w:r>
        <w:separator/>
      </w:r>
    </w:p>
  </w:footnote>
  <w:footnote w:type="continuationSeparator" w:id="0">
    <w:p w14:paraId="05FCA568" w14:textId="77777777" w:rsidR="00DA2E10" w:rsidRDefault="00DA2E10" w:rsidP="00B17D18">
      <w:r>
        <w:continuationSeparator/>
      </w:r>
    </w:p>
  </w:footnote>
  <w:footnote w:type="continuationNotice" w:id="1">
    <w:p w14:paraId="7CA978E7" w14:textId="77777777" w:rsidR="00DA2E10" w:rsidRDefault="00DA2E10"/>
  </w:footnote>
  <w:footnote w:id="2">
    <w:p w14:paraId="0ECEA895" w14:textId="77777777" w:rsidR="00D42125" w:rsidRPr="00E86F04" w:rsidRDefault="00D42125" w:rsidP="00D42125">
      <w:pPr>
        <w:pStyle w:val="Notedebasdepage"/>
      </w:pPr>
      <w:r>
        <w:rPr>
          <w:rStyle w:val="Appelnotedebasdep"/>
        </w:rPr>
        <w:footnoteRef/>
      </w:r>
      <w:r w:rsidRPr="00E86F04">
        <w:t xml:space="preserve"> </w:t>
      </w:r>
      <w:r>
        <w:t xml:space="preserve">Jean Rouaud, </w:t>
      </w:r>
      <w:r w:rsidRPr="00E86F04">
        <w:rPr>
          <w:i/>
          <w:iCs/>
        </w:rPr>
        <w:t>Les Champs d'Honneur</w:t>
      </w:r>
      <w:r>
        <w:t>, Paris, Minuit, 1990.</w:t>
      </w:r>
    </w:p>
  </w:footnote>
  <w:footnote w:id="3">
    <w:p w14:paraId="29261E38" w14:textId="77777777" w:rsidR="00D42125" w:rsidRDefault="00D42125" w:rsidP="00D42125">
      <w:pPr>
        <w:pStyle w:val="Notedebasdepage"/>
      </w:pPr>
      <w:r>
        <w:rPr>
          <w:rStyle w:val="Appelnotedebasdep"/>
        </w:rPr>
        <w:footnoteRef/>
      </w:r>
      <w:r w:rsidRPr="00D34F24">
        <w:t xml:space="preserve"> </w:t>
      </w:r>
      <w:r>
        <w:t xml:space="preserve">Stéphane </w:t>
      </w:r>
      <w:proofErr w:type="spellStart"/>
      <w:r>
        <w:t>Audoin-Rouzeau</w:t>
      </w:r>
      <w:proofErr w:type="spellEnd"/>
      <w:r>
        <w:t>, « </w:t>
      </w:r>
      <w:r w:rsidRPr="0097685A">
        <w:rPr>
          <w:i/>
        </w:rPr>
        <w:t>Les Champs d'honneur</w:t>
      </w:r>
      <w:r>
        <w:t xml:space="preserve">, et ce que les historiens de la Grande Guerre </w:t>
      </w:r>
    </w:p>
    <w:p w14:paraId="366205C3" w14:textId="77777777" w:rsidR="00D42125" w:rsidRDefault="00D42125" w:rsidP="00D42125">
      <w:pPr>
        <w:pStyle w:val="Notedebasdepage"/>
      </w:pPr>
      <w:r>
        <w:t xml:space="preserve">   </w:t>
      </w:r>
      <w:proofErr w:type="gramStart"/>
      <w:r>
        <w:t>ne</w:t>
      </w:r>
      <w:proofErr w:type="gramEnd"/>
      <w:r>
        <w:t xml:space="preserve"> voyaient pas », </w:t>
      </w:r>
      <w:r>
        <w:rPr>
          <w:i/>
          <w:iCs/>
        </w:rPr>
        <w:t>Roman français contemporain face à l'Histoire : thèmes et formes</w:t>
      </w:r>
      <w:r>
        <w:t xml:space="preserve">, Macerata, </w:t>
      </w:r>
    </w:p>
    <w:p w14:paraId="6983E540" w14:textId="77777777" w:rsidR="00D42125" w:rsidRPr="00D34F24" w:rsidRDefault="00D42125" w:rsidP="00D42125">
      <w:pPr>
        <w:pStyle w:val="Notedebasdepage"/>
        <w:rPr>
          <w:rFonts w:hint="cs"/>
          <w:rtl/>
          <w:lang w:val="en-US"/>
        </w:rPr>
      </w:pPr>
      <w:r>
        <w:t xml:space="preserve">   </w:t>
      </w:r>
      <w:r w:rsidRPr="00954F84">
        <w:rPr>
          <w:lang w:val="en-US"/>
        </w:rPr>
        <w:t>Quodlibet, 2014, p. 249-257, p. 250.</w:t>
      </w:r>
    </w:p>
  </w:footnote>
  <w:footnote w:id="4">
    <w:p w14:paraId="03FEB92C" w14:textId="77777777" w:rsidR="00D42125" w:rsidRPr="004263EC" w:rsidRDefault="00D42125" w:rsidP="00D42125">
      <w:pPr>
        <w:pStyle w:val="Standard"/>
        <w:rPr>
          <w:rFonts w:asciiTheme="majorBidi" w:hAnsiTheme="majorBidi"/>
          <w:sz w:val="20"/>
          <w:lang w:val="en-US"/>
        </w:rPr>
      </w:pPr>
      <w:r w:rsidRPr="004263EC">
        <w:rPr>
          <w:rStyle w:val="Appelnotedebasdep"/>
          <w:rFonts w:asciiTheme="majorBidi" w:hAnsiTheme="majorBidi"/>
          <w:sz w:val="20"/>
        </w:rPr>
        <w:footnoteRef/>
      </w:r>
      <w:r w:rsidRPr="004263EC">
        <w:rPr>
          <w:rFonts w:asciiTheme="majorBidi" w:hAnsiTheme="majorBidi"/>
          <w:sz w:val="20"/>
          <w:lang w:val="en-US"/>
        </w:rPr>
        <w:t xml:space="preserve"> Edmund</w:t>
      </w:r>
      <w:r w:rsidRPr="00E86F04">
        <w:rPr>
          <w:rFonts w:asciiTheme="majorBidi" w:hAnsiTheme="majorBidi" w:cstheme="majorBidi"/>
          <w:sz w:val="20"/>
          <w:szCs w:val="20"/>
          <w:lang w:val="en-US"/>
        </w:rPr>
        <w:t xml:space="preserve"> Smyth</w:t>
      </w:r>
      <w:r w:rsidRPr="004263EC">
        <w:rPr>
          <w:rFonts w:asciiTheme="majorBidi" w:hAnsiTheme="majorBidi"/>
          <w:sz w:val="20"/>
          <w:lang w:val="en-US"/>
        </w:rPr>
        <w:t>, 'The fiction of Jean Rouaud: perception, memory and identity', </w:t>
      </w:r>
      <w:r w:rsidRPr="004263EC">
        <w:rPr>
          <w:rFonts w:asciiTheme="majorBidi" w:hAnsiTheme="majorBidi"/>
          <w:i/>
          <w:sz w:val="20"/>
          <w:lang w:val="en-US"/>
        </w:rPr>
        <w:t>French Prose in 2000</w:t>
      </w:r>
      <w:r w:rsidRPr="004263EC">
        <w:rPr>
          <w:rFonts w:asciiTheme="majorBidi" w:hAnsiTheme="majorBidi"/>
          <w:sz w:val="20"/>
          <w:lang w:val="en-US"/>
        </w:rPr>
        <w:t>, Leiden, The Netherlands, Brill, 2002, p. 93-101, p. 94.</w:t>
      </w:r>
    </w:p>
  </w:footnote>
  <w:footnote w:id="5">
    <w:p w14:paraId="5E127632" w14:textId="77777777" w:rsidR="00D42125" w:rsidRPr="004263EC" w:rsidRDefault="00D42125" w:rsidP="00D42125">
      <w:pPr>
        <w:pStyle w:val="Footnote"/>
        <w:rPr>
          <w:rFonts w:asciiTheme="majorBidi" w:hAnsiTheme="majorBidi"/>
        </w:rPr>
      </w:pPr>
      <w:r w:rsidRPr="004263EC">
        <w:rPr>
          <w:rStyle w:val="Appelnotedebasdep"/>
          <w:rFonts w:asciiTheme="majorBidi" w:hAnsiTheme="majorBidi"/>
        </w:rPr>
        <w:footnoteRef/>
      </w:r>
      <w:r w:rsidRPr="004263EC">
        <w:rPr>
          <w:rFonts w:asciiTheme="majorBidi" w:hAnsiTheme="majorBidi"/>
        </w:rPr>
        <w:t xml:space="preserve"> Sylvie</w:t>
      </w:r>
      <w:r w:rsidRPr="00E86F04">
        <w:rPr>
          <w:rFonts w:asciiTheme="majorBidi" w:hAnsiTheme="majorBidi" w:cstheme="majorBidi"/>
        </w:rPr>
        <w:t xml:space="preserve"> </w:t>
      </w:r>
      <w:proofErr w:type="spellStart"/>
      <w:r w:rsidRPr="00E86F04">
        <w:rPr>
          <w:rFonts w:asciiTheme="majorBidi" w:hAnsiTheme="majorBidi" w:cstheme="majorBidi"/>
        </w:rPr>
        <w:t>Ducas</w:t>
      </w:r>
      <w:proofErr w:type="spellEnd"/>
      <w:r w:rsidRPr="004263EC">
        <w:rPr>
          <w:rFonts w:asciiTheme="majorBidi" w:hAnsiTheme="majorBidi"/>
        </w:rPr>
        <w:t xml:space="preserve">, </w:t>
      </w:r>
      <w:r w:rsidRPr="004263EC">
        <w:rPr>
          <w:rFonts w:asciiTheme="majorBidi" w:hAnsiTheme="majorBidi"/>
          <w:i/>
        </w:rPr>
        <w:t xml:space="preserve">Jean </w:t>
      </w:r>
      <w:proofErr w:type="gramStart"/>
      <w:r w:rsidRPr="004263EC">
        <w:rPr>
          <w:rFonts w:asciiTheme="majorBidi" w:hAnsiTheme="majorBidi"/>
          <w:i/>
        </w:rPr>
        <w:t>Rouaud:</w:t>
      </w:r>
      <w:proofErr w:type="gramEnd"/>
      <w:r w:rsidRPr="004263EC">
        <w:rPr>
          <w:rFonts w:asciiTheme="majorBidi" w:hAnsiTheme="majorBidi"/>
          <w:i/>
        </w:rPr>
        <w:t xml:space="preserve"> Les Champs d'honneur, Pour vos cadeau</w:t>
      </w:r>
      <w:r w:rsidRPr="004263EC">
        <w:rPr>
          <w:rFonts w:asciiTheme="majorBidi" w:hAnsiTheme="majorBidi"/>
        </w:rPr>
        <w:t xml:space="preserve">, </w:t>
      </w:r>
      <w:r w:rsidRPr="00E86F04">
        <w:rPr>
          <w:rFonts w:asciiTheme="majorBidi" w:hAnsiTheme="majorBidi" w:cstheme="majorBidi"/>
        </w:rPr>
        <w:t xml:space="preserve">Paris, Hatier, 2006, </w:t>
      </w:r>
      <w:r w:rsidRPr="004263EC">
        <w:rPr>
          <w:rFonts w:asciiTheme="majorBidi" w:hAnsiTheme="majorBidi"/>
        </w:rPr>
        <w:t>p. 67.</w:t>
      </w:r>
    </w:p>
  </w:footnote>
  <w:footnote w:id="6">
    <w:p w14:paraId="054D3243" w14:textId="77777777" w:rsidR="00D42125" w:rsidRPr="00654B56" w:rsidRDefault="00D42125" w:rsidP="00D42125">
      <w:pPr>
        <w:pStyle w:val="Footnote"/>
      </w:pPr>
      <w:r w:rsidRPr="004263EC">
        <w:rPr>
          <w:rStyle w:val="Appelnotedebasdep"/>
          <w:rFonts w:asciiTheme="majorBidi" w:hAnsiTheme="majorBidi"/>
        </w:rPr>
        <w:footnoteRef/>
      </w:r>
      <w:r w:rsidRPr="00E86F04">
        <w:rPr>
          <w:rFonts w:asciiTheme="majorBidi" w:hAnsiTheme="majorBidi" w:cstheme="majorBidi"/>
        </w:rPr>
        <w:t xml:space="preserve"> </w:t>
      </w:r>
      <w:proofErr w:type="spellStart"/>
      <w:r w:rsidRPr="00E86F04">
        <w:rPr>
          <w:rFonts w:asciiTheme="majorBidi" w:eastAsia="David" w:hAnsiTheme="majorBidi" w:cstheme="majorBidi"/>
          <w:color w:val="000000"/>
        </w:rPr>
        <w:t>Salvan</w:t>
      </w:r>
      <w:proofErr w:type="spellEnd"/>
      <w:r w:rsidRPr="004263EC">
        <w:rPr>
          <w:rFonts w:asciiTheme="majorBidi" w:eastAsia="David" w:hAnsiTheme="majorBidi"/>
          <w:color w:val="000000"/>
        </w:rPr>
        <w:t xml:space="preserve"> Geneviève, </w:t>
      </w:r>
      <w:r w:rsidRPr="004263EC">
        <w:rPr>
          <w:rFonts w:asciiTheme="majorBidi" w:hAnsiTheme="majorBidi"/>
          <w:i/>
          <w:color w:val="000000"/>
          <w:shd w:val="clear" w:color="auto" w:fill="FFFFFF"/>
        </w:rPr>
        <w:t>Jean Rouaud, L'écriture et la Voix</w:t>
      </w:r>
      <w:r w:rsidRPr="004263EC">
        <w:rPr>
          <w:rFonts w:asciiTheme="majorBidi" w:hAnsiTheme="majorBidi"/>
          <w:color w:val="000000"/>
          <w:shd w:val="clear" w:color="auto" w:fill="FFFFFF"/>
        </w:rPr>
        <w:t>, Paris, Harmattan, 2012, p. 162</w:t>
      </w:r>
      <w:r w:rsidRPr="004263EC">
        <w:rPr>
          <w:rFonts w:asciiTheme="majorBidi" w:hAnsiTheme="majorBidi"/>
        </w:rPr>
        <w:t>.</w:t>
      </w:r>
    </w:p>
  </w:footnote>
  <w:footnote w:id="7">
    <w:p w14:paraId="7D8DDC7F" w14:textId="77777777" w:rsidR="00D42125" w:rsidRPr="004263EC" w:rsidRDefault="00D42125" w:rsidP="00D42125">
      <w:pPr>
        <w:pStyle w:val="Notedebasdepage"/>
        <w:rPr>
          <w:rFonts w:asciiTheme="majorBidi" w:hAnsiTheme="majorBidi"/>
        </w:rPr>
      </w:pPr>
      <w:r w:rsidRPr="004263EC">
        <w:rPr>
          <w:rStyle w:val="Appelnotedebasdep"/>
          <w:rFonts w:asciiTheme="majorBidi" w:hAnsiTheme="majorBidi"/>
        </w:rPr>
        <w:footnoteRef/>
      </w:r>
      <w:r w:rsidRPr="00E86F04">
        <w:rPr>
          <w:rFonts w:asciiTheme="majorBidi" w:hAnsiTheme="majorBidi" w:cstheme="majorBidi"/>
        </w:rPr>
        <w:t xml:space="preserve"> Jean</w:t>
      </w:r>
      <w:r w:rsidRPr="004263EC">
        <w:rPr>
          <w:rFonts w:asciiTheme="majorBidi" w:hAnsiTheme="majorBidi"/>
        </w:rPr>
        <w:t xml:space="preserve"> </w:t>
      </w:r>
      <w:r w:rsidRPr="00C10B0A">
        <w:rPr>
          <w:rFonts w:asciiTheme="majorBidi" w:hAnsiTheme="majorBidi"/>
        </w:rPr>
        <w:t xml:space="preserve">Rouaud, </w:t>
      </w:r>
      <w:r w:rsidRPr="00C10B0A">
        <w:rPr>
          <w:rFonts w:asciiTheme="majorBidi" w:hAnsiTheme="majorBidi"/>
          <w:i/>
        </w:rPr>
        <w:t>Sur la scène comme au ciel</w:t>
      </w:r>
      <w:r w:rsidRPr="00C10B0A">
        <w:rPr>
          <w:rFonts w:asciiTheme="majorBidi" w:hAnsiTheme="majorBidi"/>
        </w:rPr>
        <w:t xml:space="preserve">, Paris, Minuit, </w:t>
      </w:r>
      <w:r w:rsidRPr="00C10B0A">
        <w:rPr>
          <w:rFonts w:asciiTheme="majorBidi" w:hAnsiTheme="majorBidi" w:hint="cs"/>
        </w:rPr>
        <w:t>1999, p. 33-34</w:t>
      </w:r>
      <w:r w:rsidRPr="00C10B0A">
        <w:rPr>
          <w:rFonts w:asciiTheme="majorBidi" w:hAnsiTheme="majorBidi"/>
        </w:rPr>
        <w:t>.</w:t>
      </w:r>
    </w:p>
  </w:footnote>
  <w:footnote w:id="8">
    <w:p w14:paraId="46510220" w14:textId="77777777" w:rsidR="00D42125" w:rsidRPr="004263EC" w:rsidRDefault="00D42125" w:rsidP="00D42125">
      <w:pPr>
        <w:rPr>
          <w:rFonts w:asciiTheme="majorBidi" w:hAnsiTheme="majorBidi"/>
          <w:sz w:val="20"/>
        </w:rPr>
      </w:pPr>
      <w:r w:rsidRPr="004263EC">
        <w:rPr>
          <w:rStyle w:val="Appelnotedebasdep"/>
          <w:rFonts w:asciiTheme="majorBidi" w:hAnsiTheme="majorBidi"/>
          <w:sz w:val="20"/>
        </w:rPr>
        <w:footnoteRef/>
      </w:r>
      <w:r w:rsidRPr="00E86F04">
        <w:rPr>
          <w:rFonts w:asciiTheme="majorBidi" w:hAnsiTheme="majorBidi" w:cstheme="majorBidi"/>
          <w:sz w:val="20"/>
          <w:szCs w:val="20"/>
        </w:rPr>
        <w:t xml:space="preserve"> Jean</w:t>
      </w:r>
      <w:r w:rsidRPr="004263EC">
        <w:rPr>
          <w:rFonts w:asciiTheme="majorBidi" w:hAnsiTheme="majorBidi"/>
          <w:sz w:val="20"/>
        </w:rPr>
        <w:t xml:space="preserve"> Rouaud, </w:t>
      </w:r>
      <w:r w:rsidRPr="004263EC">
        <w:rPr>
          <w:rFonts w:asciiTheme="majorBidi" w:hAnsiTheme="majorBidi"/>
          <w:i/>
          <w:sz w:val="20"/>
        </w:rPr>
        <w:t>Un peu la guerre</w:t>
      </w:r>
      <w:r w:rsidRPr="004263EC">
        <w:rPr>
          <w:rFonts w:asciiTheme="majorBidi" w:hAnsiTheme="majorBidi"/>
          <w:sz w:val="20"/>
        </w:rPr>
        <w:t>, Paris, Gallimard, 2014</w:t>
      </w:r>
      <w:r w:rsidRPr="004263EC">
        <w:rPr>
          <w:rFonts w:asciiTheme="majorBidi" w:hAnsiTheme="majorBidi" w:hint="cs"/>
          <w:sz w:val="20"/>
        </w:rPr>
        <w:t>, p. 33-34</w:t>
      </w:r>
      <w:r w:rsidRPr="004263EC">
        <w:rPr>
          <w:rFonts w:asciiTheme="majorBidi" w:hAnsiTheme="majorBidi"/>
          <w:sz w:val="20"/>
        </w:rPr>
        <w:t>.</w:t>
      </w:r>
    </w:p>
  </w:footnote>
  <w:footnote w:id="9">
    <w:p w14:paraId="2CCB678F" w14:textId="77777777" w:rsidR="00D42125" w:rsidRPr="00C10B0A" w:rsidRDefault="00D42125" w:rsidP="00D42125">
      <w:pPr>
        <w:pStyle w:val="Notedebasdepage"/>
      </w:pPr>
      <w:r w:rsidRPr="004263EC">
        <w:rPr>
          <w:rStyle w:val="Appelnotedebasdep"/>
          <w:rFonts w:asciiTheme="majorBidi" w:hAnsiTheme="majorBidi"/>
        </w:rPr>
        <w:footnoteRef/>
      </w:r>
      <w:r w:rsidRPr="004263EC">
        <w:rPr>
          <w:rFonts w:asciiTheme="majorBidi" w:hAnsiTheme="majorBidi"/>
        </w:rPr>
        <w:t xml:space="preserve"> </w:t>
      </w:r>
      <w:r w:rsidRPr="00C10B0A">
        <w:rPr>
          <w:rFonts w:asciiTheme="majorBidi" w:hAnsiTheme="majorBidi"/>
          <w:i/>
        </w:rPr>
        <w:t>Ibid</w:t>
      </w:r>
      <w:r w:rsidRPr="00C10B0A">
        <w:rPr>
          <w:rFonts w:asciiTheme="majorBidi" w:hAnsiTheme="majorBidi"/>
        </w:rPr>
        <w:t>., p. 178.</w:t>
      </w:r>
      <w:r w:rsidRPr="00C10B0A">
        <w:t xml:space="preserve"> </w:t>
      </w:r>
    </w:p>
  </w:footnote>
  <w:footnote w:id="10">
    <w:p w14:paraId="12509BF0" w14:textId="77777777" w:rsidR="00D42125" w:rsidRPr="00E86F04" w:rsidRDefault="00D42125" w:rsidP="00D42125">
      <w:pPr>
        <w:spacing w:before="120"/>
        <w:jc w:val="both"/>
        <w:rPr>
          <w:rFonts w:asciiTheme="majorBidi" w:hAnsiTheme="majorBidi" w:cstheme="majorBidi"/>
          <w:sz w:val="20"/>
          <w:szCs w:val="20"/>
        </w:rPr>
      </w:pPr>
      <w:r w:rsidRPr="004263EC">
        <w:rPr>
          <w:rStyle w:val="Appelnotedebasdep"/>
          <w:rFonts w:asciiTheme="majorBidi" w:hAnsiTheme="majorBidi"/>
        </w:rPr>
        <w:footnoteRef/>
      </w:r>
      <w:r w:rsidRPr="00E86F04">
        <w:rPr>
          <w:rFonts w:asciiTheme="majorBidi" w:hAnsiTheme="majorBidi" w:cstheme="majorBidi"/>
        </w:rPr>
        <w:t xml:space="preserve"> </w:t>
      </w:r>
      <w:r w:rsidRPr="00E86F04">
        <w:rPr>
          <w:rFonts w:asciiTheme="majorBidi" w:hAnsiTheme="majorBidi" w:cstheme="majorBidi"/>
          <w:sz w:val="20"/>
          <w:szCs w:val="20"/>
        </w:rPr>
        <w:t>Jean</w:t>
      </w:r>
      <w:r w:rsidRPr="004263EC">
        <w:rPr>
          <w:rFonts w:asciiTheme="majorBidi" w:hAnsiTheme="majorBidi"/>
          <w:sz w:val="20"/>
        </w:rPr>
        <w:t xml:space="preserve"> Rouaud, « La chronique de Jean Rouaud : De guerre lasse », </w:t>
      </w:r>
      <w:r w:rsidRPr="004263EC">
        <w:rPr>
          <w:rFonts w:asciiTheme="majorBidi" w:hAnsiTheme="majorBidi"/>
          <w:i/>
          <w:sz w:val="20"/>
        </w:rPr>
        <w:t>L’Humanité</w:t>
      </w:r>
      <w:r w:rsidRPr="004263EC">
        <w:rPr>
          <w:rFonts w:asciiTheme="majorBidi" w:hAnsiTheme="majorBidi"/>
          <w:sz w:val="20"/>
        </w:rPr>
        <w:t xml:space="preserve">, Mardi, 14 Novembre, 2017, p. 1-2, p. 1. URL : </w:t>
      </w:r>
      <w:hyperlink r:id="rId1" w:history="1">
        <w:r w:rsidRPr="004263EC">
          <w:rPr>
            <w:rStyle w:val="Lienhypertexte"/>
            <w:rFonts w:asciiTheme="majorBidi" w:hAnsiTheme="majorBidi"/>
            <w:sz w:val="20"/>
          </w:rPr>
          <w:t>https://www.humanite.fr/de-guerre-lasse-645444</w:t>
        </w:r>
      </w:hyperlink>
    </w:p>
  </w:footnote>
  <w:footnote w:id="11">
    <w:p w14:paraId="397B0880" w14:textId="77777777" w:rsidR="00D42125" w:rsidRPr="00640524" w:rsidRDefault="00D42125" w:rsidP="00D42125">
      <w:pPr>
        <w:rPr>
          <w:rFonts w:asciiTheme="majorBidi" w:hAnsiTheme="majorBidi"/>
          <w:sz w:val="20"/>
        </w:rPr>
      </w:pPr>
      <w:r w:rsidRPr="004263EC">
        <w:rPr>
          <w:rStyle w:val="Appelnotedebasdep"/>
          <w:rFonts w:asciiTheme="majorBidi" w:hAnsiTheme="majorBidi"/>
        </w:rPr>
        <w:footnoteRef/>
      </w:r>
      <w:r w:rsidRPr="00E86F04">
        <w:rPr>
          <w:rFonts w:asciiTheme="majorBidi" w:hAnsiTheme="majorBidi" w:cstheme="majorBidi"/>
        </w:rPr>
        <w:t xml:space="preserve"> </w:t>
      </w:r>
      <w:r w:rsidRPr="00E86F04">
        <w:rPr>
          <w:rFonts w:asciiTheme="majorBidi" w:hAnsiTheme="majorBidi" w:cstheme="majorBidi"/>
          <w:sz w:val="20"/>
          <w:szCs w:val="20"/>
        </w:rPr>
        <w:t>Jean</w:t>
      </w:r>
      <w:r w:rsidRPr="004263EC">
        <w:rPr>
          <w:rFonts w:asciiTheme="majorBidi" w:hAnsiTheme="majorBidi"/>
          <w:sz w:val="20"/>
        </w:rPr>
        <w:t xml:space="preserve"> Rouaud, « Le dernier cavalier », </w:t>
      </w:r>
      <w:r w:rsidRPr="004263EC">
        <w:rPr>
          <w:rFonts w:asciiTheme="majorBidi" w:hAnsiTheme="majorBidi"/>
          <w:i/>
          <w:sz w:val="20"/>
        </w:rPr>
        <w:t>Cahiers Claude Simon</w:t>
      </w:r>
      <w:r w:rsidRPr="004263EC">
        <w:rPr>
          <w:rFonts w:asciiTheme="majorBidi" w:hAnsiTheme="majorBidi"/>
          <w:sz w:val="20"/>
        </w:rPr>
        <w:t>, n°5, 2009, p. 147-153, p. 150.</w:t>
      </w:r>
    </w:p>
  </w:footnote>
  <w:footnote w:id="12">
    <w:p w14:paraId="4001E6D3" w14:textId="77777777" w:rsidR="00D42125" w:rsidRPr="006C2C6C" w:rsidRDefault="00D42125" w:rsidP="00D42125">
      <w:pPr>
        <w:pStyle w:val="Notedebasdepage"/>
        <w:rPr>
          <w:lang w:val="en-US"/>
        </w:rPr>
      </w:pPr>
      <w:r>
        <w:rPr>
          <w:rStyle w:val="Appelnotedebasdep"/>
        </w:rPr>
        <w:footnoteRef/>
      </w:r>
      <w:r w:rsidRPr="006C2C6C">
        <w:rPr>
          <w:lang w:val="en-US"/>
        </w:rPr>
        <w:t xml:space="preserve"> </w:t>
      </w:r>
      <w:r w:rsidRPr="000D33B1">
        <w:rPr>
          <w:lang w:val="en-US"/>
        </w:rPr>
        <w:t xml:space="preserve">Samuel Lynn Hynes, </w:t>
      </w:r>
      <w:r w:rsidRPr="00CA1F90">
        <w:rPr>
          <w:i/>
          <w:iCs/>
          <w:lang w:val="en-US"/>
        </w:rPr>
        <w:t>The Soldiers’ Tale: Bearing Witness to Modern War</w:t>
      </w:r>
      <w:r>
        <w:rPr>
          <w:lang w:val="en-US"/>
        </w:rPr>
        <w:t xml:space="preserve">, </w:t>
      </w:r>
      <w:r w:rsidRPr="000D33B1">
        <w:rPr>
          <w:lang w:val="en-US"/>
        </w:rPr>
        <w:t>New York</w:t>
      </w:r>
      <w:r>
        <w:rPr>
          <w:lang w:val="en-US"/>
        </w:rPr>
        <w:t>,</w:t>
      </w:r>
      <w:r w:rsidRPr="000D33B1">
        <w:rPr>
          <w:lang w:val="en-US"/>
        </w:rPr>
        <w:t xml:space="preserve"> Penguin, 1997, p. 1–2.</w:t>
      </w:r>
    </w:p>
  </w:footnote>
  <w:footnote w:id="13">
    <w:p w14:paraId="2400FBB4" w14:textId="77777777" w:rsidR="00D42125" w:rsidRPr="00654B56" w:rsidRDefault="00D42125" w:rsidP="00D42125">
      <w:pPr>
        <w:rPr>
          <w:rFonts w:asciiTheme="majorBidi" w:hAnsiTheme="majorBidi" w:cstheme="majorBidi"/>
          <w:sz w:val="20"/>
          <w:szCs w:val="20"/>
          <w:lang w:eastAsia="fr-FR"/>
        </w:rPr>
      </w:pPr>
      <w:r w:rsidRPr="00654B56">
        <w:rPr>
          <w:rStyle w:val="Appelnotedebasdep"/>
          <w:rFonts w:asciiTheme="majorBidi" w:hAnsiTheme="majorBidi" w:cstheme="majorBidi"/>
          <w:sz w:val="20"/>
          <w:szCs w:val="20"/>
        </w:rPr>
        <w:footnoteRef/>
      </w:r>
      <w:r w:rsidRPr="00654B56">
        <w:rPr>
          <w:rFonts w:asciiTheme="majorBidi" w:hAnsiTheme="majorBidi" w:cstheme="majorBidi"/>
          <w:sz w:val="20"/>
          <w:szCs w:val="20"/>
        </w:rPr>
        <w:t xml:space="preserve"> </w:t>
      </w:r>
      <w:r w:rsidRPr="00654B56">
        <w:rPr>
          <w:rFonts w:asciiTheme="majorBidi" w:hAnsiTheme="majorBidi" w:cstheme="majorBidi"/>
          <w:color w:val="000000"/>
          <w:sz w:val="20"/>
          <w:szCs w:val="20"/>
          <w:shd w:val="clear" w:color="auto" w:fill="FFFFFF"/>
          <w:lang w:eastAsia="fr-FR"/>
        </w:rPr>
        <w:t>Émile</w:t>
      </w:r>
      <w:r w:rsidRPr="004263EC">
        <w:rPr>
          <w:rFonts w:asciiTheme="majorBidi" w:hAnsiTheme="majorBidi"/>
          <w:color w:val="000000"/>
          <w:sz w:val="20"/>
          <w:shd w:val="clear" w:color="auto" w:fill="FFFFFF"/>
        </w:rPr>
        <w:t xml:space="preserve"> </w:t>
      </w:r>
      <w:r w:rsidRPr="00654B56">
        <w:rPr>
          <w:rFonts w:asciiTheme="majorBidi" w:hAnsiTheme="majorBidi" w:cstheme="majorBidi"/>
          <w:color w:val="000000"/>
          <w:sz w:val="20"/>
          <w:szCs w:val="20"/>
          <w:shd w:val="clear" w:color="auto" w:fill="FFFFFF"/>
          <w:lang w:eastAsia="fr-FR"/>
        </w:rPr>
        <w:t>Benveniste,</w:t>
      </w:r>
      <w:r w:rsidRPr="00654B56">
        <w:rPr>
          <w:rFonts w:asciiTheme="majorBidi" w:hAnsiTheme="majorBidi" w:cstheme="majorBidi"/>
          <w:color w:val="000000"/>
          <w:sz w:val="20"/>
          <w:szCs w:val="20"/>
          <w:lang w:eastAsia="fr-FR"/>
        </w:rPr>
        <w:t xml:space="preserve"> </w:t>
      </w:r>
      <w:r w:rsidRPr="00654B56">
        <w:rPr>
          <w:rFonts w:asciiTheme="majorBidi" w:hAnsiTheme="majorBidi" w:cstheme="majorBidi"/>
          <w:i/>
          <w:iCs/>
          <w:color w:val="000000"/>
          <w:sz w:val="20"/>
          <w:szCs w:val="20"/>
          <w:shd w:val="clear" w:color="auto" w:fill="FFFFFF"/>
          <w:lang w:eastAsia="fr-FR"/>
        </w:rPr>
        <w:t>Le Vocabulaire des institutions indo-européennes</w:t>
      </w:r>
      <w:r>
        <w:rPr>
          <w:rFonts w:asciiTheme="majorBidi" w:hAnsiTheme="majorBidi" w:cstheme="majorBidi"/>
          <w:color w:val="000000"/>
          <w:sz w:val="20"/>
          <w:szCs w:val="20"/>
          <w:shd w:val="clear" w:color="auto" w:fill="FFFFFF"/>
          <w:lang w:eastAsia="fr-FR"/>
        </w:rPr>
        <w:t>,</w:t>
      </w:r>
      <w:r w:rsidRPr="00654B56">
        <w:rPr>
          <w:rFonts w:asciiTheme="majorBidi" w:hAnsiTheme="majorBidi" w:cstheme="majorBidi"/>
          <w:color w:val="000000"/>
          <w:sz w:val="20"/>
          <w:szCs w:val="20"/>
          <w:shd w:val="clear" w:color="auto" w:fill="FFFFFF"/>
          <w:lang w:eastAsia="fr-FR"/>
        </w:rPr>
        <w:t xml:space="preserve"> Paris, Minuit, 1969, p. 89. </w:t>
      </w:r>
    </w:p>
  </w:footnote>
  <w:footnote w:id="14">
    <w:p w14:paraId="54C4F411" w14:textId="77777777" w:rsidR="00D42125" w:rsidRPr="004263EC" w:rsidRDefault="00D42125" w:rsidP="00D42125">
      <w:pPr>
        <w:rPr>
          <w:rFonts w:asciiTheme="majorBidi" w:hAnsiTheme="majorBidi"/>
          <w:color w:val="000000" w:themeColor="text1"/>
          <w:sz w:val="20"/>
          <w:lang w:val="en-US"/>
        </w:rPr>
      </w:pPr>
      <w:r w:rsidRPr="004263EC">
        <w:rPr>
          <w:rFonts w:asciiTheme="majorBidi" w:hAnsiTheme="majorBidi"/>
          <w:color w:val="000000" w:themeColor="text1"/>
          <w:sz w:val="20"/>
        </w:rPr>
        <w:footnoteRef/>
      </w:r>
      <w:r w:rsidRPr="004263EC">
        <w:rPr>
          <w:rFonts w:asciiTheme="majorBidi" w:hAnsiTheme="majorBidi" w:cstheme="majorBidi"/>
          <w:color w:val="000000" w:themeColor="text1"/>
          <w:sz w:val="20"/>
          <w:szCs w:val="20"/>
          <w:rtl/>
        </w:rPr>
        <w:t xml:space="preserve"> </w:t>
      </w:r>
      <w:r w:rsidRPr="004263EC">
        <w:rPr>
          <w:rFonts w:asciiTheme="majorBidi" w:hAnsiTheme="majorBidi"/>
          <w:color w:val="000000" w:themeColor="text1"/>
          <w:sz w:val="20"/>
          <w:lang w:val="en-US"/>
        </w:rPr>
        <w:t>Shoshana</w:t>
      </w:r>
      <w:r>
        <w:rPr>
          <w:rFonts w:asciiTheme="majorBidi" w:hAnsiTheme="majorBidi" w:cstheme="majorBidi"/>
          <w:color w:val="000000" w:themeColor="text1"/>
          <w:sz w:val="20"/>
          <w:szCs w:val="20"/>
          <w:lang w:val="en-US"/>
        </w:rPr>
        <w:t xml:space="preserve"> </w:t>
      </w:r>
      <w:proofErr w:type="spellStart"/>
      <w:r w:rsidRPr="00E86F04">
        <w:rPr>
          <w:rFonts w:asciiTheme="majorBidi" w:hAnsiTheme="majorBidi" w:cstheme="majorBidi"/>
          <w:color w:val="000000" w:themeColor="text1"/>
          <w:sz w:val="20"/>
          <w:szCs w:val="20"/>
          <w:lang w:val="en-US"/>
        </w:rPr>
        <w:t>Felman</w:t>
      </w:r>
      <w:proofErr w:type="spellEnd"/>
      <w:r w:rsidRPr="00E86F04">
        <w:rPr>
          <w:rFonts w:asciiTheme="majorBidi" w:hAnsiTheme="majorBidi" w:cstheme="majorBidi"/>
          <w:color w:val="000000" w:themeColor="text1"/>
          <w:sz w:val="20"/>
          <w:szCs w:val="20"/>
          <w:lang w:val="en-US"/>
        </w:rPr>
        <w:t xml:space="preserve">, </w:t>
      </w:r>
      <w:r>
        <w:rPr>
          <w:rFonts w:asciiTheme="majorBidi" w:hAnsiTheme="majorBidi" w:cstheme="majorBidi"/>
          <w:color w:val="000000" w:themeColor="text1"/>
          <w:sz w:val="20"/>
          <w:szCs w:val="20"/>
          <w:lang w:val="en-US"/>
        </w:rPr>
        <w:t>"</w:t>
      </w:r>
      <w:r w:rsidRPr="004263EC">
        <w:rPr>
          <w:rFonts w:asciiTheme="majorBidi" w:hAnsiTheme="majorBidi"/>
          <w:color w:val="000000" w:themeColor="text1"/>
          <w:sz w:val="20"/>
          <w:lang w:val="en-US"/>
        </w:rPr>
        <w:t>The Return of the Voice: Claude Lanzmann’s Shoah", </w:t>
      </w:r>
      <w:r w:rsidRPr="004263EC">
        <w:rPr>
          <w:rFonts w:asciiTheme="majorBidi" w:hAnsiTheme="majorBidi"/>
          <w:i/>
          <w:color w:val="000000" w:themeColor="text1"/>
          <w:sz w:val="20"/>
          <w:lang w:val="en-US"/>
        </w:rPr>
        <w:t>The Holocaust: Theoretical Readings</w:t>
      </w:r>
      <w:r w:rsidRPr="004263EC">
        <w:rPr>
          <w:rFonts w:asciiTheme="majorBidi" w:hAnsiTheme="majorBidi"/>
          <w:color w:val="000000" w:themeColor="text1"/>
          <w:sz w:val="20"/>
          <w:lang w:val="en-US"/>
        </w:rPr>
        <w:t xml:space="preserve">, Edinburgh, Edinburgh University Press, 2003, p. 360-368, p. 370. </w:t>
      </w:r>
    </w:p>
  </w:footnote>
  <w:footnote w:id="15">
    <w:p w14:paraId="22D41B8D" w14:textId="77777777" w:rsidR="00D42125" w:rsidRPr="004263EC" w:rsidRDefault="00D42125" w:rsidP="00D42125">
      <w:pPr>
        <w:pStyle w:val="Standarduser"/>
        <w:rPr>
          <w:rFonts w:asciiTheme="majorBidi" w:hAnsiTheme="majorBidi" w:cstheme="majorBidi"/>
          <w:color w:val="000000" w:themeColor="text1"/>
          <w:sz w:val="20"/>
          <w:szCs w:val="20"/>
          <w:rtl/>
        </w:rPr>
      </w:pPr>
      <w:r w:rsidRPr="004263EC">
        <w:rPr>
          <w:rStyle w:val="Appelnotedebasdep"/>
          <w:rFonts w:asciiTheme="majorBidi" w:hAnsiTheme="majorBidi"/>
          <w:color w:val="000000" w:themeColor="text1"/>
          <w:sz w:val="20"/>
        </w:rPr>
        <w:footnoteRef/>
      </w:r>
      <w:r w:rsidRPr="004263EC">
        <w:rPr>
          <w:rFonts w:asciiTheme="majorBidi" w:hAnsiTheme="majorBidi"/>
          <w:color w:val="000000" w:themeColor="text1"/>
          <w:sz w:val="20"/>
        </w:rPr>
        <w:t xml:space="preserve">  Philippe</w:t>
      </w:r>
      <w:r>
        <w:rPr>
          <w:rFonts w:asciiTheme="majorBidi" w:hAnsiTheme="majorBidi" w:cstheme="majorBidi"/>
          <w:color w:val="000000" w:themeColor="text1"/>
          <w:sz w:val="20"/>
          <w:szCs w:val="20"/>
        </w:rPr>
        <w:t xml:space="preserve"> </w:t>
      </w:r>
      <w:proofErr w:type="spellStart"/>
      <w:r w:rsidRPr="00E86F04">
        <w:rPr>
          <w:rFonts w:asciiTheme="majorBidi" w:hAnsiTheme="majorBidi" w:cstheme="majorBidi"/>
          <w:color w:val="000000" w:themeColor="text1"/>
          <w:sz w:val="20"/>
          <w:szCs w:val="20"/>
        </w:rPr>
        <w:t>Mesnard</w:t>
      </w:r>
      <w:proofErr w:type="spellEnd"/>
      <w:r w:rsidRPr="004263EC">
        <w:rPr>
          <w:rFonts w:asciiTheme="majorBidi" w:hAnsiTheme="majorBidi"/>
          <w:color w:val="000000" w:themeColor="text1"/>
          <w:sz w:val="20"/>
        </w:rPr>
        <w:t>, « Ce qu’il nous revient d’affronter », </w:t>
      </w:r>
      <w:r w:rsidRPr="004263EC">
        <w:rPr>
          <w:rFonts w:asciiTheme="majorBidi" w:hAnsiTheme="majorBidi"/>
          <w:i/>
          <w:color w:val="000000" w:themeColor="text1"/>
          <w:sz w:val="20"/>
        </w:rPr>
        <w:t>Témoigner. Entre histoire et mémoire</w:t>
      </w:r>
      <w:r>
        <w:rPr>
          <w:rFonts w:asciiTheme="majorBidi" w:hAnsiTheme="majorBidi" w:cstheme="majorBidi"/>
          <w:i/>
          <w:iCs/>
          <w:color w:val="000000" w:themeColor="text1"/>
          <w:sz w:val="20"/>
          <w:szCs w:val="20"/>
        </w:rPr>
        <w:t>,</w:t>
      </w:r>
      <w:r w:rsidRPr="00E86F04">
        <w:rPr>
          <w:rFonts w:asciiTheme="majorBidi" w:hAnsiTheme="majorBidi" w:cstheme="majorBidi"/>
          <w:color w:val="000000" w:themeColor="text1"/>
          <w:sz w:val="20"/>
          <w:szCs w:val="20"/>
        </w:rPr>
        <w:t> </w:t>
      </w:r>
      <w:r>
        <w:rPr>
          <w:rFonts w:asciiTheme="majorBidi" w:hAnsiTheme="majorBidi" w:cstheme="majorBidi"/>
          <w:color w:val="000000" w:themeColor="text1"/>
          <w:sz w:val="20"/>
          <w:szCs w:val="20"/>
        </w:rPr>
        <w:t>n°</w:t>
      </w:r>
      <w:r w:rsidRPr="004263EC">
        <w:rPr>
          <w:rFonts w:asciiTheme="majorBidi" w:hAnsiTheme="majorBidi"/>
          <w:color w:val="000000" w:themeColor="text1"/>
          <w:sz w:val="20"/>
        </w:rPr>
        <w:t>119, 2014, p. 4-5,</w:t>
      </w:r>
      <w:r>
        <w:rPr>
          <w:rFonts w:asciiTheme="majorBidi" w:hAnsiTheme="majorBidi" w:cstheme="majorBidi"/>
          <w:color w:val="000000" w:themeColor="text1"/>
          <w:sz w:val="20"/>
          <w:szCs w:val="20"/>
        </w:rPr>
        <w:t xml:space="preserve"> </w:t>
      </w:r>
      <w:r w:rsidRPr="004263EC">
        <w:rPr>
          <w:rFonts w:asciiTheme="majorBidi" w:hAnsiTheme="majorBidi"/>
          <w:color w:val="000000" w:themeColor="text1"/>
          <w:sz w:val="20"/>
        </w:rPr>
        <w:t>p. 4. URL : http://journals.openedition.org/temoigner/1321 </w:t>
      </w:r>
    </w:p>
  </w:footnote>
  <w:footnote w:id="16">
    <w:p w14:paraId="3E31AEDD" w14:textId="77777777" w:rsidR="00D42125" w:rsidRPr="004263EC" w:rsidRDefault="00D42125" w:rsidP="00D42125">
      <w:pPr>
        <w:pStyle w:val="Footnoteuser"/>
        <w:rPr>
          <w:rFonts w:asciiTheme="majorBidi" w:hAnsiTheme="majorBidi"/>
          <w:color w:val="000000" w:themeColor="text1"/>
          <w:lang w:val="fr-FR"/>
        </w:rPr>
      </w:pPr>
      <w:r w:rsidRPr="004263EC">
        <w:rPr>
          <w:rStyle w:val="Appelnotedebasdep"/>
          <w:rFonts w:asciiTheme="majorBidi" w:hAnsiTheme="majorBidi"/>
          <w:color w:val="000000" w:themeColor="text1"/>
        </w:rPr>
        <w:footnoteRef/>
      </w:r>
      <w:r w:rsidRPr="00E86F04">
        <w:rPr>
          <w:rFonts w:asciiTheme="majorBidi" w:hAnsiTheme="majorBidi" w:cstheme="majorBidi"/>
          <w:color w:val="000000" w:themeColor="text1"/>
          <w:lang w:val="fr-FR"/>
        </w:rPr>
        <w:t xml:space="preserve"> Aurélie</w:t>
      </w:r>
      <w:r w:rsidRPr="004263EC">
        <w:rPr>
          <w:rFonts w:asciiTheme="majorBidi" w:hAnsiTheme="majorBidi"/>
          <w:color w:val="000000" w:themeColor="text1"/>
          <w:lang w:val="fr-FR"/>
        </w:rPr>
        <w:t xml:space="preserve"> </w:t>
      </w:r>
      <w:proofErr w:type="spellStart"/>
      <w:r w:rsidRPr="004263EC">
        <w:rPr>
          <w:rFonts w:asciiTheme="majorBidi" w:hAnsiTheme="majorBidi"/>
          <w:color w:val="000000" w:themeColor="text1"/>
          <w:lang w:val="fr-FR"/>
        </w:rPr>
        <w:t>Barjonet</w:t>
      </w:r>
      <w:proofErr w:type="spellEnd"/>
      <w:r w:rsidRPr="004263EC">
        <w:rPr>
          <w:rFonts w:asciiTheme="majorBidi" w:hAnsiTheme="majorBidi"/>
          <w:color w:val="000000" w:themeColor="text1"/>
          <w:lang w:val="fr-FR"/>
        </w:rPr>
        <w:t xml:space="preserve">, </w:t>
      </w:r>
      <w:r w:rsidRPr="004263EC">
        <w:rPr>
          <w:rFonts w:asciiTheme="majorBidi" w:hAnsiTheme="majorBidi"/>
          <w:i/>
          <w:color w:val="000000" w:themeColor="text1"/>
          <w:lang w:val="fr-FR"/>
        </w:rPr>
        <w:t>L'ère des non-</w:t>
      </w:r>
      <w:proofErr w:type="gramStart"/>
      <w:r w:rsidRPr="004263EC">
        <w:rPr>
          <w:rFonts w:asciiTheme="majorBidi" w:hAnsiTheme="majorBidi"/>
          <w:i/>
          <w:color w:val="000000" w:themeColor="text1"/>
          <w:lang w:val="fr-FR"/>
        </w:rPr>
        <w:t>témoins:</w:t>
      </w:r>
      <w:proofErr w:type="gramEnd"/>
      <w:r w:rsidRPr="004263EC">
        <w:rPr>
          <w:rFonts w:asciiTheme="majorBidi" w:hAnsiTheme="majorBidi"/>
          <w:i/>
          <w:color w:val="000000" w:themeColor="text1"/>
          <w:lang w:val="fr-FR"/>
        </w:rPr>
        <w:t xml:space="preserve"> la littérature des petits-enfants de la Shoah</w:t>
      </w:r>
      <w:r w:rsidRPr="004263EC">
        <w:rPr>
          <w:rFonts w:asciiTheme="majorBidi" w:hAnsiTheme="majorBidi"/>
          <w:color w:val="000000" w:themeColor="text1"/>
          <w:lang w:val="fr-FR"/>
        </w:rPr>
        <w:t xml:space="preserve">, Paris, Edition </w:t>
      </w:r>
      <w:proofErr w:type="spellStart"/>
      <w:r w:rsidRPr="004263EC">
        <w:rPr>
          <w:rFonts w:asciiTheme="majorBidi" w:hAnsiTheme="majorBidi"/>
          <w:color w:val="000000" w:themeColor="text1"/>
          <w:lang w:val="fr-FR"/>
        </w:rPr>
        <w:t>Kimé</w:t>
      </w:r>
      <w:proofErr w:type="spellEnd"/>
      <w:r w:rsidRPr="004263EC">
        <w:rPr>
          <w:rFonts w:asciiTheme="majorBidi" w:hAnsiTheme="majorBidi"/>
          <w:color w:val="000000" w:themeColor="text1"/>
          <w:lang w:val="fr-FR"/>
        </w:rPr>
        <w:t>, 2022, p. 11.</w:t>
      </w:r>
    </w:p>
  </w:footnote>
  <w:footnote w:id="17">
    <w:p w14:paraId="130E286F" w14:textId="77777777" w:rsidR="00D42125" w:rsidRPr="00654B56" w:rsidRDefault="00D42125" w:rsidP="00D42125">
      <w:pPr>
        <w:pStyle w:val="Footnoteuser"/>
        <w:rPr>
          <w:lang w:val="fr-FR"/>
        </w:rPr>
      </w:pPr>
      <w:r w:rsidRPr="004263EC">
        <w:rPr>
          <w:rStyle w:val="Appelnotedebasdep"/>
          <w:rFonts w:asciiTheme="majorBidi" w:hAnsiTheme="majorBidi"/>
          <w:color w:val="000000" w:themeColor="text1"/>
        </w:rPr>
        <w:footnoteRef/>
      </w:r>
      <w:r w:rsidRPr="00903814">
        <w:rPr>
          <w:rFonts w:asciiTheme="majorBidi" w:hAnsiTheme="majorBidi" w:cstheme="majorBidi"/>
          <w:i/>
          <w:iCs/>
          <w:color w:val="000000" w:themeColor="text1"/>
          <w:lang w:val="fr-FR"/>
        </w:rPr>
        <w:t>Ibid</w:t>
      </w:r>
      <w:r>
        <w:rPr>
          <w:rFonts w:asciiTheme="majorBidi" w:hAnsiTheme="majorBidi" w:cstheme="majorBidi"/>
          <w:color w:val="000000" w:themeColor="text1"/>
          <w:lang w:val="fr-FR"/>
        </w:rPr>
        <w:t>.</w:t>
      </w:r>
      <w:r w:rsidRPr="00E86F04">
        <w:rPr>
          <w:rFonts w:asciiTheme="majorBidi" w:hAnsiTheme="majorBidi" w:cstheme="majorBidi"/>
          <w:color w:val="000000" w:themeColor="text1"/>
          <w:lang w:val="fr-FR"/>
        </w:rPr>
        <w:t>, p. 11.</w:t>
      </w:r>
    </w:p>
  </w:footnote>
  <w:footnote w:id="18">
    <w:p w14:paraId="2131DD21" w14:textId="77777777" w:rsidR="00D42125" w:rsidRPr="00C10B0A" w:rsidRDefault="00D42125" w:rsidP="00D42125">
      <w:pPr>
        <w:pStyle w:val="Notedebasdepage"/>
        <w:rPr>
          <w:rFonts w:asciiTheme="majorBidi" w:hAnsiTheme="majorBidi"/>
        </w:rPr>
      </w:pPr>
      <w:r w:rsidRPr="00654B56">
        <w:rPr>
          <w:rStyle w:val="Appelnotedebasdep"/>
        </w:rPr>
        <w:footnoteRef/>
      </w:r>
      <w:r w:rsidRPr="004263EC">
        <w:t xml:space="preserve"> </w:t>
      </w:r>
      <w:r w:rsidRPr="00C10B0A">
        <w:rPr>
          <w:rFonts w:asciiTheme="majorBidi" w:hAnsiTheme="majorBidi"/>
        </w:rPr>
        <w:t>Marianne</w:t>
      </w:r>
      <w:r>
        <w:rPr>
          <w:rFonts w:asciiTheme="majorBidi" w:hAnsiTheme="majorBidi" w:cstheme="majorBidi"/>
        </w:rPr>
        <w:t xml:space="preserve"> </w:t>
      </w:r>
      <w:proofErr w:type="spellStart"/>
      <w:r w:rsidRPr="00654B56">
        <w:rPr>
          <w:rFonts w:asciiTheme="majorBidi" w:hAnsiTheme="majorBidi" w:cstheme="majorBidi"/>
        </w:rPr>
        <w:t>Hirsch</w:t>
      </w:r>
      <w:proofErr w:type="spellEnd"/>
      <w:r w:rsidRPr="00C10B0A">
        <w:rPr>
          <w:rFonts w:asciiTheme="majorBidi" w:hAnsiTheme="majorBidi"/>
        </w:rPr>
        <w:t xml:space="preserve">, « </w:t>
      </w:r>
      <w:proofErr w:type="spellStart"/>
      <w:r w:rsidRPr="00C10B0A">
        <w:rPr>
          <w:rFonts w:asciiTheme="majorBidi" w:hAnsiTheme="majorBidi"/>
        </w:rPr>
        <w:t>Postmémoire</w:t>
      </w:r>
      <w:proofErr w:type="spellEnd"/>
      <w:r w:rsidRPr="00C10B0A">
        <w:rPr>
          <w:rFonts w:asciiTheme="majorBidi" w:hAnsiTheme="majorBidi"/>
        </w:rPr>
        <w:t xml:space="preserve"> », Traduction de Philippe </w:t>
      </w:r>
      <w:proofErr w:type="spellStart"/>
      <w:r w:rsidRPr="00C10B0A">
        <w:rPr>
          <w:rFonts w:asciiTheme="majorBidi" w:hAnsiTheme="majorBidi"/>
        </w:rPr>
        <w:t>Mesnard</w:t>
      </w:r>
      <w:proofErr w:type="spellEnd"/>
      <w:r w:rsidRPr="00C10B0A">
        <w:rPr>
          <w:rFonts w:asciiTheme="majorBidi" w:hAnsiTheme="majorBidi"/>
        </w:rPr>
        <w:t xml:space="preserve">, </w:t>
      </w:r>
      <w:r w:rsidRPr="00C10B0A">
        <w:rPr>
          <w:rFonts w:asciiTheme="majorBidi" w:hAnsiTheme="majorBidi"/>
          <w:i/>
        </w:rPr>
        <w:t>Témoigner, Dictionnaire testimonial et mémoriel, Entre histoire et mémoire</w:t>
      </w:r>
      <w:r w:rsidRPr="00C10B0A">
        <w:rPr>
          <w:rFonts w:asciiTheme="majorBidi" w:hAnsiTheme="majorBidi"/>
        </w:rPr>
        <w:t xml:space="preserve">, </w:t>
      </w:r>
      <w:r>
        <w:rPr>
          <w:rFonts w:asciiTheme="majorBidi" w:hAnsiTheme="majorBidi" w:cstheme="majorBidi"/>
        </w:rPr>
        <w:t>n°</w:t>
      </w:r>
      <w:r w:rsidRPr="00C10B0A">
        <w:rPr>
          <w:rFonts w:asciiTheme="majorBidi" w:hAnsiTheme="majorBidi"/>
        </w:rPr>
        <w:t>118, 2014, p. 205-206.</w:t>
      </w:r>
    </w:p>
    <w:p w14:paraId="10FCF450" w14:textId="77777777" w:rsidR="00D42125" w:rsidRPr="00B44BCD" w:rsidRDefault="00D42125" w:rsidP="00D42125">
      <w:pPr>
        <w:pStyle w:val="Notedebasdepage"/>
        <w:rPr>
          <w:rtl/>
        </w:rPr>
      </w:pPr>
    </w:p>
  </w:footnote>
  <w:footnote w:id="19">
    <w:p w14:paraId="533552D0" w14:textId="77777777" w:rsidR="00D42125" w:rsidRPr="004263EC" w:rsidRDefault="00D42125" w:rsidP="00D42125">
      <w:pPr>
        <w:rPr>
          <w:rFonts w:asciiTheme="majorBidi" w:hAnsiTheme="majorBidi"/>
          <w:sz w:val="20"/>
        </w:rPr>
      </w:pPr>
      <w:r w:rsidRPr="004263EC">
        <w:rPr>
          <w:rStyle w:val="Appelnotedebasdep"/>
          <w:rFonts w:asciiTheme="majorBidi" w:hAnsiTheme="majorBidi"/>
          <w:sz w:val="20"/>
        </w:rPr>
        <w:footnoteRef/>
      </w:r>
      <w:r w:rsidRPr="00903814">
        <w:rPr>
          <w:rFonts w:asciiTheme="majorBidi" w:hAnsiTheme="majorBidi" w:cstheme="majorBidi"/>
          <w:sz w:val="20"/>
          <w:szCs w:val="20"/>
        </w:rPr>
        <w:t xml:space="preserve"> </w:t>
      </w:r>
      <w:r w:rsidRPr="00903814">
        <w:rPr>
          <w:rFonts w:asciiTheme="majorBidi" w:hAnsiTheme="majorBidi" w:cstheme="majorBidi"/>
          <w:sz w:val="20"/>
          <w:szCs w:val="20"/>
          <w:shd w:val="clear" w:color="auto" w:fill="FFFFFF"/>
        </w:rPr>
        <w:t>Dominique</w:t>
      </w:r>
      <w:r w:rsidRPr="004263EC">
        <w:rPr>
          <w:rFonts w:asciiTheme="majorBidi" w:hAnsiTheme="majorBidi"/>
          <w:sz w:val="20"/>
          <w:shd w:val="clear" w:color="auto" w:fill="FFFFFF"/>
        </w:rPr>
        <w:t xml:space="preserve"> </w:t>
      </w:r>
      <w:proofErr w:type="spellStart"/>
      <w:r w:rsidRPr="004263EC">
        <w:rPr>
          <w:rFonts w:asciiTheme="majorBidi" w:hAnsiTheme="majorBidi"/>
          <w:sz w:val="20"/>
          <w:shd w:val="clear" w:color="auto" w:fill="FFFFFF"/>
        </w:rPr>
        <w:t>Linhardt</w:t>
      </w:r>
      <w:proofErr w:type="spellEnd"/>
      <w:r w:rsidRPr="004263EC">
        <w:rPr>
          <w:rFonts w:asciiTheme="majorBidi" w:hAnsiTheme="majorBidi"/>
          <w:sz w:val="20"/>
          <w:shd w:val="clear" w:color="auto" w:fill="FFFFFF"/>
        </w:rPr>
        <w:t xml:space="preserve"> </w:t>
      </w:r>
      <w:r w:rsidRPr="00903814">
        <w:rPr>
          <w:rFonts w:asciiTheme="majorBidi" w:hAnsiTheme="majorBidi" w:cstheme="majorBidi"/>
          <w:sz w:val="20"/>
          <w:szCs w:val="20"/>
          <w:shd w:val="clear" w:color="auto" w:fill="FFFFFF"/>
        </w:rPr>
        <w:t>et</w:t>
      </w:r>
      <w:r w:rsidRPr="004263EC">
        <w:rPr>
          <w:rFonts w:asciiTheme="majorBidi" w:hAnsiTheme="majorBidi"/>
          <w:sz w:val="20"/>
          <w:shd w:val="clear" w:color="auto" w:fill="FFFFFF"/>
        </w:rPr>
        <w:t xml:space="preserve"> Cédric Moreau de </w:t>
      </w:r>
      <w:proofErr w:type="spellStart"/>
      <w:r w:rsidRPr="004263EC">
        <w:rPr>
          <w:rFonts w:asciiTheme="majorBidi" w:hAnsiTheme="majorBidi"/>
          <w:sz w:val="20"/>
          <w:shd w:val="clear" w:color="auto" w:fill="FFFFFF"/>
        </w:rPr>
        <w:t>Bellaing</w:t>
      </w:r>
      <w:proofErr w:type="spellEnd"/>
      <w:r w:rsidRPr="004263EC">
        <w:rPr>
          <w:rFonts w:asciiTheme="majorBidi" w:hAnsiTheme="majorBidi"/>
          <w:sz w:val="20"/>
          <w:shd w:val="clear" w:color="auto" w:fill="FFFFFF"/>
        </w:rPr>
        <w:t>,</w:t>
      </w:r>
      <w:proofErr w:type="gramStart"/>
      <w:r w:rsidRPr="004263EC">
        <w:rPr>
          <w:rFonts w:asciiTheme="majorBidi" w:hAnsiTheme="majorBidi"/>
          <w:sz w:val="20"/>
          <w:shd w:val="clear" w:color="auto" w:fill="FFFFFF"/>
        </w:rPr>
        <w:t xml:space="preserve"> </w:t>
      </w:r>
      <w:r w:rsidRPr="004263EC">
        <w:rPr>
          <w:rFonts w:asciiTheme="majorBidi" w:hAnsiTheme="majorBidi"/>
          <w:sz w:val="20"/>
        </w:rPr>
        <w:t>«</w:t>
      </w:r>
      <w:r w:rsidRPr="004263EC">
        <w:rPr>
          <w:rFonts w:asciiTheme="majorBidi" w:hAnsiTheme="majorBidi"/>
          <w:sz w:val="20"/>
          <w:shd w:val="clear" w:color="auto" w:fill="FFFFFF"/>
        </w:rPr>
        <w:t>Ni</w:t>
      </w:r>
      <w:proofErr w:type="gramEnd"/>
      <w:r w:rsidRPr="004263EC">
        <w:rPr>
          <w:rFonts w:asciiTheme="majorBidi" w:hAnsiTheme="majorBidi"/>
          <w:sz w:val="20"/>
          <w:shd w:val="clear" w:color="auto" w:fill="FFFFFF"/>
        </w:rPr>
        <w:t xml:space="preserve"> guerre, ni paix. Dislocations de l’ordre </w:t>
      </w:r>
      <w:r w:rsidRPr="00903814">
        <w:rPr>
          <w:rFonts w:asciiTheme="majorBidi" w:hAnsiTheme="majorBidi" w:cstheme="majorBidi"/>
          <w:sz w:val="20"/>
          <w:szCs w:val="20"/>
          <w:shd w:val="clear" w:color="auto" w:fill="FFFFFF"/>
        </w:rPr>
        <w:t>politique</w:t>
      </w:r>
      <w:r w:rsidRPr="004263EC">
        <w:rPr>
          <w:rFonts w:asciiTheme="majorBidi" w:hAnsiTheme="majorBidi"/>
          <w:sz w:val="20"/>
          <w:shd w:val="clear" w:color="auto" w:fill="FFFFFF"/>
        </w:rPr>
        <w:t xml:space="preserve"> et décantonnements de la guerre</w:t>
      </w:r>
      <w:r w:rsidRPr="00903814">
        <w:rPr>
          <w:rFonts w:asciiTheme="majorBidi" w:hAnsiTheme="majorBidi" w:cstheme="majorBidi"/>
          <w:sz w:val="20"/>
          <w:szCs w:val="20"/>
        </w:rPr>
        <w:t xml:space="preserve"> </w:t>
      </w:r>
      <w:r w:rsidRPr="004263EC">
        <w:rPr>
          <w:rFonts w:asciiTheme="majorBidi" w:hAnsiTheme="majorBidi"/>
          <w:sz w:val="20"/>
        </w:rPr>
        <w:t>»,</w:t>
      </w:r>
      <w:r w:rsidRPr="004263EC">
        <w:rPr>
          <w:rFonts w:asciiTheme="majorBidi" w:hAnsiTheme="majorBidi"/>
          <w:sz w:val="20"/>
          <w:shd w:val="clear" w:color="auto" w:fill="FFFFFF"/>
        </w:rPr>
        <w:t xml:space="preserve"> </w:t>
      </w:r>
      <w:proofErr w:type="spellStart"/>
      <w:r w:rsidRPr="004263EC">
        <w:rPr>
          <w:rFonts w:asciiTheme="majorBidi" w:hAnsiTheme="majorBidi"/>
          <w:i/>
          <w:sz w:val="20"/>
          <w:shd w:val="clear" w:color="auto" w:fill="FFFFFF"/>
        </w:rPr>
        <w:t>Politix</w:t>
      </w:r>
      <w:proofErr w:type="spellEnd"/>
      <w:r w:rsidRPr="004263EC">
        <w:rPr>
          <w:rFonts w:asciiTheme="majorBidi" w:hAnsiTheme="majorBidi"/>
          <w:sz w:val="20"/>
          <w:shd w:val="clear" w:color="auto" w:fill="FFFFFF"/>
        </w:rPr>
        <w:t>, vol. 104</w:t>
      </w:r>
      <w:r w:rsidRPr="00903814">
        <w:rPr>
          <w:rFonts w:asciiTheme="majorBidi" w:hAnsiTheme="majorBidi" w:cstheme="majorBidi"/>
          <w:sz w:val="20"/>
          <w:szCs w:val="20"/>
          <w:shd w:val="clear" w:color="auto" w:fill="FFFFFF"/>
        </w:rPr>
        <w:t>,</w:t>
      </w:r>
      <w:r w:rsidRPr="004263EC">
        <w:rPr>
          <w:rFonts w:asciiTheme="majorBidi" w:hAnsiTheme="majorBidi"/>
          <w:sz w:val="20"/>
          <w:shd w:val="clear" w:color="auto" w:fill="FFFFFF"/>
        </w:rPr>
        <w:t xml:space="preserve"> n°4, 2013, p. 7-23.</w:t>
      </w:r>
    </w:p>
  </w:footnote>
  <w:footnote w:id="20">
    <w:p w14:paraId="3FB6E6C8" w14:textId="77777777" w:rsidR="00D42125" w:rsidRPr="004263EC" w:rsidRDefault="00D42125" w:rsidP="00D42125">
      <w:pPr>
        <w:rPr>
          <w:rFonts w:asciiTheme="majorBidi" w:hAnsiTheme="majorBidi"/>
          <w:sz w:val="20"/>
          <w:lang w:val="en-US"/>
        </w:rPr>
      </w:pPr>
      <w:r w:rsidRPr="004263EC">
        <w:rPr>
          <w:rStyle w:val="Appelnotedebasdep"/>
          <w:rFonts w:asciiTheme="majorBidi" w:hAnsiTheme="majorBidi"/>
          <w:sz w:val="20"/>
        </w:rPr>
        <w:footnoteRef/>
      </w:r>
      <w:r w:rsidRPr="00903814">
        <w:rPr>
          <w:rFonts w:asciiTheme="majorBidi" w:hAnsiTheme="majorBidi" w:cstheme="majorBidi"/>
          <w:sz w:val="20"/>
          <w:szCs w:val="20"/>
          <w:lang w:val="en-US"/>
        </w:rPr>
        <w:t xml:space="preserve"> </w:t>
      </w:r>
      <w:r w:rsidRPr="00903814">
        <w:rPr>
          <w:rFonts w:asciiTheme="majorBidi" w:hAnsiTheme="majorBidi" w:cstheme="majorBidi"/>
          <w:sz w:val="20"/>
          <w:szCs w:val="20"/>
          <w:shd w:val="clear" w:color="auto" w:fill="FFFFFF"/>
          <w:lang w:val="en-US"/>
        </w:rPr>
        <w:t>Catharine</w:t>
      </w:r>
      <w:r w:rsidRPr="004263EC">
        <w:rPr>
          <w:rFonts w:asciiTheme="majorBidi" w:hAnsiTheme="majorBidi"/>
          <w:sz w:val="20"/>
          <w:shd w:val="clear" w:color="auto" w:fill="FFFFFF"/>
          <w:lang w:val="en-US"/>
        </w:rPr>
        <w:t xml:space="preserve"> Savage </w:t>
      </w:r>
      <w:proofErr w:type="spellStart"/>
      <w:r w:rsidRPr="004263EC">
        <w:rPr>
          <w:rFonts w:asciiTheme="majorBidi" w:hAnsiTheme="majorBidi"/>
          <w:sz w:val="20"/>
          <w:shd w:val="clear" w:color="auto" w:fill="FFFFFF"/>
          <w:lang w:val="en-US"/>
        </w:rPr>
        <w:t>Brosman</w:t>
      </w:r>
      <w:proofErr w:type="spellEnd"/>
      <w:r w:rsidRPr="00903814">
        <w:rPr>
          <w:rFonts w:asciiTheme="majorBidi" w:hAnsiTheme="majorBidi" w:cstheme="majorBidi"/>
          <w:sz w:val="20"/>
          <w:szCs w:val="20"/>
          <w:shd w:val="clear" w:color="auto" w:fill="FFFFFF"/>
          <w:lang w:val="en-US"/>
        </w:rPr>
        <w:t xml:space="preserve">, </w:t>
      </w:r>
      <w:r>
        <w:rPr>
          <w:rFonts w:asciiTheme="majorBidi" w:hAnsiTheme="majorBidi" w:cstheme="majorBidi"/>
          <w:sz w:val="20"/>
          <w:szCs w:val="20"/>
          <w:shd w:val="clear" w:color="auto" w:fill="FFFFFF"/>
          <w:lang w:val="en-US"/>
        </w:rPr>
        <w:t>"</w:t>
      </w:r>
      <w:r w:rsidRPr="004263EC">
        <w:rPr>
          <w:rFonts w:asciiTheme="majorBidi" w:hAnsiTheme="majorBidi"/>
          <w:sz w:val="20"/>
          <w:shd w:val="clear" w:color="auto" w:fill="FFFFFF"/>
          <w:lang w:val="en-US"/>
        </w:rPr>
        <w:t xml:space="preserve">Reading Behind the Lines the Interpretation of </w:t>
      </w:r>
      <w:r w:rsidRPr="00903814">
        <w:rPr>
          <w:rFonts w:asciiTheme="majorBidi" w:hAnsiTheme="majorBidi" w:cstheme="majorBidi"/>
          <w:sz w:val="20"/>
          <w:szCs w:val="20"/>
          <w:shd w:val="clear" w:color="auto" w:fill="FFFFFF"/>
          <w:lang w:val="en-US"/>
        </w:rPr>
        <w:t>War</w:t>
      </w:r>
      <w:r>
        <w:rPr>
          <w:rFonts w:asciiTheme="majorBidi" w:hAnsiTheme="majorBidi" w:cstheme="majorBidi"/>
          <w:sz w:val="20"/>
          <w:szCs w:val="20"/>
          <w:shd w:val="clear" w:color="auto" w:fill="FFFFFF"/>
          <w:lang w:val="en-US"/>
        </w:rPr>
        <w:t>"</w:t>
      </w:r>
      <w:r w:rsidRPr="00903814">
        <w:rPr>
          <w:rFonts w:asciiTheme="majorBidi" w:hAnsiTheme="majorBidi" w:cstheme="majorBidi"/>
          <w:sz w:val="20"/>
          <w:szCs w:val="20"/>
          <w:shd w:val="clear" w:color="auto" w:fill="FFFFFF"/>
          <w:lang w:val="en-US"/>
        </w:rPr>
        <w:t>,</w:t>
      </w:r>
      <w:r w:rsidRPr="004263EC">
        <w:rPr>
          <w:rFonts w:asciiTheme="majorBidi" w:hAnsiTheme="majorBidi"/>
          <w:sz w:val="20"/>
          <w:shd w:val="clear" w:color="auto" w:fill="FFFFFF"/>
          <w:lang w:val="en-US"/>
        </w:rPr>
        <w:t xml:space="preserve"> </w:t>
      </w:r>
      <w:r w:rsidRPr="004263EC">
        <w:rPr>
          <w:rFonts w:asciiTheme="majorBidi" w:hAnsiTheme="majorBidi"/>
          <w:i/>
          <w:sz w:val="20"/>
          <w:shd w:val="clear" w:color="auto" w:fill="FFFFFF"/>
          <w:lang w:val="en-US"/>
        </w:rPr>
        <w:t>The Sewanee Review</w:t>
      </w:r>
      <w:r w:rsidRPr="004263EC">
        <w:rPr>
          <w:rFonts w:asciiTheme="majorBidi" w:hAnsiTheme="majorBidi"/>
          <w:sz w:val="20"/>
          <w:shd w:val="clear" w:color="auto" w:fill="FFFFFF"/>
          <w:lang w:val="en-US"/>
        </w:rPr>
        <w:t xml:space="preserve">, vol. 100, n°1, 1992, p. 69–97, p. 77. </w:t>
      </w:r>
    </w:p>
  </w:footnote>
  <w:footnote w:id="21">
    <w:p w14:paraId="66C04BBD" w14:textId="77777777" w:rsidR="00D42125" w:rsidRPr="004263EC" w:rsidRDefault="00D42125" w:rsidP="00D42125">
      <w:pPr>
        <w:rPr>
          <w:rFonts w:asciiTheme="majorBidi" w:hAnsiTheme="majorBidi"/>
          <w:sz w:val="20"/>
          <w:lang w:val="en-US"/>
        </w:rPr>
      </w:pPr>
      <w:r w:rsidRPr="004263EC">
        <w:rPr>
          <w:rStyle w:val="Appelnotedebasdep"/>
          <w:rFonts w:asciiTheme="majorBidi" w:hAnsiTheme="majorBidi"/>
          <w:sz w:val="20"/>
        </w:rPr>
        <w:footnoteRef/>
      </w:r>
      <w:r w:rsidRPr="004263EC">
        <w:rPr>
          <w:rFonts w:asciiTheme="majorBidi" w:hAnsiTheme="majorBidi"/>
          <w:sz w:val="20"/>
          <w:lang w:val="en-US"/>
        </w:rPr>
        <w:t xml:space="preserve"> </w:t>
      </w:r>
      <w:r w:rsidRPr="004263EC">
        <w:rPr>
          <w:rFonts w:asciiTheme="majorBidi" w:hAnsiTheme="majorBidi"/>
          <w:sz w:val="20"/>
          <w:shd w:val="clear" w:color="auto" w:fill="FFFFFF"/>
          <w:lang w:val="en-US"/>
        </w:rPr>
        <w:t>Antony</w:t>
      </w:r>
      <w:r>
        <w:rPr>
          <w:rFonts w:asciiTheme="majorBidi" w:hAnsiTheme="majorBidi" w:cstheme="majorBidi"/>
          <w:sz w:val="20"/>
          <w:szCs w:val="20"/>
          <w:shd w:val="clear" w:color="auto" w:fill="FFFFFF"/>
          <w:lang w:val="en-US"/>
        </w:rPr>
        <w:t xml:space="preserve"> </w:t>
      </w:r>
      <w:r w:rsidRPr="00903814">
        <w:rPr>
          <w:rFonts w:asciiTheme="majorBidi" w:hAnsiTheme="majorBidi" w:cstheme="majorBidi"/>
          <w:sz w:val="20"/>
          <w:szCs w:val="20"/>
          <w:shd w:val="clear" w:color="auto" w:fill="FFFFFF"/>
          <w:lang w:val="en-US"/>
        </w:rPr>
        <w:t xml:space="preserve">Adolf, </w:t>
      </w:r>
      <w:r>
        <w:rPr>
          <w:rFonts w:asciiTheme="majorBidi" w:hAnsiTheme="majorBidi" w:cstheme="majorBidi"/>
          <w:sz w:val="20"/>
          <w:szCs w:val="20"/>
          <w:shd w:val="clear" w:color="auto" w:fill="FFFFFF"/>
          <w:lang w:val="en-US"/>
        </w:rPr>
        <w:t>"</w:t>
      </w:r>
      <w:r w:rsidRPr="004263EC">
        <w:rPr>
          <w:rFonts w:asciiTheme="majorBidi" w:hAnsiTheme="majorBidi"/>
          <w:sz w:val="20"/>
          <w:shd w:val="clear" w:color="auto" w:fill="FFFFFF"/>
          <w:lang w:val="en-US"/>
        </w:rPr>
        <w:t xml:space="preserve">What Does Peace Literature Do? An Introduction to the Genre and Its </w:t>
      </w:r>
      <w:r w:rsidRPr="00903814">
        <w:rPr>
          <w:rFonts w:asciiTheme="majorBidi" w:hAnsiTheme="majorBidi" w:cstheme="majorBidi"/>
          <w:sz w:val="20"/>
          <w:szCs w:val="20"/>
          <w:shd w:val="clear" w:color="auto" w:fill="FFFFFF"/>
          <w:lang w:val="en-US"/>
        </w:rPr>
        <w:t>Criticism</w:t>
      </w:r>
      <w:r>
        <w:rPr>
          <w:rFonts w:asciiTheme="majorBidi" w:hAnsiTheme="majorBidi" w:cstheme="majorBidi"/>
          <w:sz w:val="20"/>
          <w:szCs w:val="20"/>
          <w:shd w:val="clear" w:color="auto" w:fill="FFFFFF"/>
          <w:lang w:val="en-US"/>
        </w:rPr>
        <w:t>"</w:t>
      </w:r>
      <w:r w:rsidRPr="00903814">
        <w:rPr>
          <w:rFonts w:asciiTheme="majorBidi" w:hAnsiTheme="majorBidi" w:cstheme="majorBidi"/>
          <w:sz w:val="20"/>
          <w:szCs w:val="20"/>
          <w:shd w:val="clear" w:color="auto" w:fill="FFFFFF"/>
          <w:lang w:val="en-US"/>
        </w:rPr>
        <w:t>,</w:t>
      </w:r>
      <w:r w:rsidRPr="004263EC">
        <w:rPr>
          <w:rFonts w:asciiTheme="majorBidi" w:hAnsiTheme="majorBidi"/>
          <w:sz w:val="20"/>
          <w:shd w:val="clear" w:color="auto" w:fill="FFFFFF"/>
          <w:lang w:val="en-US"/>
        </w:rPr>
        <w:t xml:space="preserve"> </w:t>
      </w:r>
      <w:r w:rsidRPr="004263EC">
        <w:rPr>
          <w:rFonts w:asciiTheme="majorBidi" w:hAnsiTheme="majorBidi"/>
          <w:i/>
          <w:sz w:val="20"/>
          <w:shd w:val="clear" w:color="auto" w:fill="FFFFFF"/>
          <w:lang w:val="en-US"/>
        </w:rPr>
        <w:t xml:space="preserve">Peace Research, </w:t>
      </w:r>
      <w:r w:rsidRPr="004263EC">
        <w:rPr>
          <w:rFonts w:asciiTheme="majorBidi" w:hAnsiTheme="majorBidi"/>
          <w:sz w:val="20"/>
          <w:shd w:val="clear" w:color="auto" w:fill="FFFFFF"/>
          <w:lang w:val="en-US"/>
        </w:rPr>
        <w:t>vol. 42, n°2, 2010, p. 9–21, p. 9.</w:t>
      </w:r>
    </w:p>
    <w:p w14:paraId="7A267DA1" w14:textId="77777777" w:rsidR="00D42125" w:rsidRPr="004263EC" w:rsidRDefault="00D42125" w:rsidP="00D42125">
      <w:pPr>
        <w:pStyle w:val="Notedebasdepage"/>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05A5D" w14:textId="77777777" w:rsidR="00C10B0A" w:rsidRDefault="00C10B0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D18"/>
    <w:rsid w:val="00011F0D"/>
    <w:rsid w:val="0002363B"/>
    <w:rsid w:val="0002367A"/>
    <w:rsid w:val="00041541"/>
    <w:rsid w:val="00041A42"/>
    <w:rsid w:val="00092CEE"/>
    <w:rsid w:val="000B0211"/>
    <w:rsid w:val="000B4E5D"/>
    <w:rsid w:val="000C1282"/>
    <w:rsid w:val="000D1F95"/>
    <w:rsid w:val="000E1221"/>
    <w:rsid w:val="000E487D"/>
    <w:rsid w:val="00101173"/>
    <w:rsid w:val="00103594"/>
    <w:rsid w:val="0010509B"/>
    <w:rsid w:val="00121451"/>
    <w:rsid w:val="00133517"/>
    <w:rsid w:val="00144D74"/>
    <w:rsid w:val="00163464"/>
    <w:rsid w:val="00166AEE"/>
    <w:rsid w:val="00187C93"/>
    <w:rsid w:val="001A2A56"/>
    <w:rsid w:val="001B69B2"/>
    <w:rsid w:val="001D0E55"/>
    <w:rsid w:val="001E0314"/>
    <w:rsid w:val="001E34E3"/>
    <w:rsid w:val="001E67DF"/>
    <w:rsid w:val="0021140E"/>
    <w:rsid w:val="0021657E"/>
    <w:rsid w:val="0024018C"/>
    <w:rsid w:val="0026424A"/>
    <w:rsid w:val="00267F01"/>
    <w:rsid w:val="00273709"/>
    <w:rsid w:val="00277091"/>
    <w:rsid w:val="002770DF"/>
    <w:rsid w:val="00287348"/>
    <w:rsid w:val="00291AAB"/>
    <w:rsid w:val="002C0E83"/>
    <w:rsid w:val="002C3A1A"/>
    <w:rsid w:val="002C5C8F"/>
    <w:rsid w:val="002D22C2"/>
    <w:rsid w:val="002E41EA"/>
    <w:rsid w:val="003160F5"/>
    <w:rsid w:val="003270D7"/>
    <w:rsid w:val="00336BAD"/>
    <w:rsid w:val="00382073"/>
    <w:rsid w:val="003843B3"/>
    <w:rsid w:val="00392EF9"/>
    <w:rsid w:val="00394AF5"/>
    <w:rsid w:val="003A0E6E"/>
    <w:rsid w:val="003A5105"/>
    <w:rsid w:val="003C2512"/>
    <w:rsid w:val="003C314B"/>
    <w:rsid w:val="003D5946"/>
    <w:rsid w:val="003D6A2A"/>
    <w:rsid w:val="003F3609"/>
    <w:rsid w:val="003F5DEA"/>
    <w:rsid w:val="00407ECC"/>
    <w:rsid w:val="00423E59"/>
    <w:rsid w:val="004263EC"/>
    <w:rsid w:val="0042777E"/>
    <w:rsid w:val="00432344"/>
    <w:rsid w:val="00446DC0"/>
    <w:rsid w:val="00451CFE"/>
    <w:rsid w:val="00460A12"/>
    <w:rsid w:val="00466873"/>
    <w:rsid w:val="00492C85"/>
    <w:rsid w:val="004957E6"/>
    <w:rsid w:val="004A04BB"/>
    <w:rsid w:val="004A154F"/>
    <w:rsid w:val="004B407E"/>
    <w:rsid w:val="004C0DF1"/>
    <w:rsid w:val="004F13BA"/>
    <w:rsid w:val="004F7AD9"/>
    <w:rsid w:val="00533E96"/>
    <w:rsid w:val="005C2677"/>
    <w:rsid w:val="005D47CF"/>
    <w:rsid w:val="005F3343"/>
    <w:rsid w:val="00654B56"/>
    <w:rsid w:val="00656B40"/>
    <w:rsid w:val="00673541"/>
    <w:rsid w:val="00674208"/>
    <w:rsid w:val="006742A7"/>
    <w:rsid w:val="006A10DB"/>
    <w:rsid w:val="006A5B2C"/>
    <w:rsid w:val="006A7007"/>
    <w:rsid w:val="006C2C6C"/>
    <w:rsid w:val="006C5BCD"/>
    <w:rsid w:val="006D6009"/>
    <w:rsid w:val="006D6C1B"/>
    <w:rsid w:val="006E2481"/>
    <w:rsid w:val="006E308E"/>
    <w:rsid w:val="006F7AC9"/>
    <w:rsid w:val="00705DF0"/>
    <w:rsid w:val="007135AA"/>
    <w:rsid w:val="00727AEE"/>
    <w:rsid w:val="00730875"/>
    <w:rsid w:val="00731531"/>
    <w:rsid w:val="0075723F"/>
    <w:rsid w:val="00794F16"/>
    <w:rsid w:val="007A3EBF"/>
    <w:rsid w:val="007B5F89"/>
    <w:rsid w:val="007D1C94"/>
    <w:rsid w:val="007D79FC"/>
    <w:rsid w:val="007E21B0"/>
    <w:rsid w:val="00814F9D"/>
    <w:rsid w:val="00816672"/>
    <w:rsid w:val="008215B4"/>
    <w:rsid w:val="008372F8"/>
    <w:rsid w:val="0084069A"/>
    <w:rsid w:val="008416B1"/>
    <w:rsid w:val="008460A7"/>
    <w:rsid w:val="0085539C"/>
    <w:rsid w:val="00856496"/>
    <w:rsid w:val="008643F7"/>
    <w:rsid w:val="008720BE"/>
    <w:rsid w:val="00872630"/>
    <w:rsid w:val="008869D9"/>
    <w:rsid w:val="00887861"/>
    <w:rsid w:val="00890FC6"/>
    <w:rsid w:val="008A0D2E"/>
    <w:rsid w:val="008A4933"/>
    <w:rsid w:val="008C25AA"/>
    <w:rsid w:val="008D3BDD"/>
    <w:rsid w:val="008E4BA2"/>
    <w:rsid w:val="008F7DFA"/>
    <w:rsid w:val="00907BCF"/>
    <w:rsid w:val="00915B87"/>
    <w:rsid w:val="00921DFC"/>
    <w:rsid w:val="009335DC"/>
    <w:rsid w:val="00933956"/>
    <w:rsid w:val="00935CD2"/>
    <w:rsid w:val="00962B04"/>
    <w:rsid w:val="00981727"/>
    <w:rsid w:val="00983357"/>
    <w:rsid w:val="00983394"/>
    <w:rsid w:val="00983791"/>
    <w:rsid w:val="00983A50"/>
    <w:rsid w:val="009B2883"/>
    <w:rsid w:val="009C0BC6"/>
    <w:rsid w:val="009D6294"/>
    <w:rsid w:val="009E1EFF"/>
    <w:rsid w:val="00A00D04"/>
    <w:rsid w:val="00A176B4"/>
    <w:rsid w:val="00A21A64"/>
    <w:rsid w:val="00A3602E"/>
    <w:rsid w:val="00A4657F"/>
    <w:rsid w:val="00A52537"/>
    <w:rsid w:val="00A52E6C"/>
    <w:rsid w:val="00A53691"/>
    <w:rsid w:val="00A56C0A"/>
    <w:rsid w:val="00A67038"/>
    <w:rsid w:val="00A71E5B"/>
    <w:rsid w:val="00A76C33"/>
    <w:rsid w:val="00A8393E"/>
    <w:rsid w:val="00A96F4B"/>
    <w:rsid w:val="00AA182A"/>
    <w:rsid w:val="00AB4F6D"/>
    <w:rsid w:val="00AD5384"/>
    <w:rsid w:val="00AD7F17"/>
    <w:rsid w:val="00AE7C64"/>
    <w:rsid w:val="00AF051B"/>
    <w:rsid w:val="00B058C2"/>
    <w:rsid w:val="00B05E49"/>
    <w:rsid w:val="00B15247"/>
    <w:rsid w:val="00B17D18"/>
    <w:rsid w:val="00B2128D"/>
    <w:rsid w:val="00B2142B"/>
    <w:rsid w:val="00B32FD0"/>
    <w:rsid w:val="00B42328"/>
    <w:rsid w:val="00B43D64"/>
    <w:rsid w:val="00B613F2"/>
    <w:rsid w:val="00B6224D"/>
    <w:rsid w:val="00B62BD4"/>
    <w:rsid w:val="00B70560"/>
    <w:rsid w:val="00B756F9"/>
    <w:rsid w:val="00B83EB3"/>
    <w:rsid w:val="00B87EA5"/>
    <w:rsid w:val="00B922B1"/>
    <w:rsid w:val="00BA0A79"/>
    <w:rsid w:val="00BA1718"/>
    <w:rsid w:val="00BB59D1"/>
    <w:rsid w:val="00BD4E5B"/>
    <w:rsid w:val="00BE736E"/>
    <w:rsid w:val="00BF240E"/>
    <w:rsid w:val="00BF62A1"/>
    <w:rsid w:val="00C034D0"/>
    <w:rsid w:val="00C10B0A"/>
    <w:rsid w:val="00C143F6"/>
    <w:rsid w:val="00C254DB"/>
    <w:rsid w:val="00C3414A"/>
    <w:rsid w:val="00C646A0"/>
    <w:rsid w:val="00C650C9"/>
    <w:rsid w:val="00C92F7A"/>
    <w:rsid w:val="00CB0E55"/>
    <w:rsid w:val="00CC041C"/>
    <w:rsid w:val="00CD132F"/>
    <w:rsid w:val="00D10851"/>
    <w:rsid w:val="00D24261"/>
    <w:rsid w:val="00D25F05"/>
    <w:rsid w:val="00D27031"/>
    <w:rsid w:val="00D34F24"/>
    <w:rsid w:val="00D41355"/>
    <w:rsid w:val="00D42125"/>
    <w:rsid w:val="00D54976"/>
    <w:rsid w:val="00D55738"/>
    <w:rsid w:val="00D803BE"/>
    <w:rsid w:val="00D808F7"/>
    <w:rsid w:val="00D80A39"/>
    <w:rsid w:val="00DA08B4"/>
    <w:rsid w:val="00DA2E10"/>
    <w:rsid w:val="00DB0F00"/>
    <w:rsid w:val="00DC21C7"/>
    <w:rsid w:val="00DD45E5"/>
    <w:rsid w:val="00DD6854"/>
    <w:rsid w:val="00DF0579"/>
    <w:rsid w:val="00E000C4"/>
    <w:rsid w:val="00E336FB"/>
    <w:rsid w:val="00E63EAE"/>
    <w:rsid w:val="00E6783E"/>
    <w:rsid w:val="00E73C41"/>
    <w:rsid w:val="00E76056"/>
    <w:rsid w:val="00E84E88"/>
    <w:rsid w:val="00E91A77"/>
    <w:rsid w:val="00EA5AAF"/>
    <w:rsid w:val="00EC3477"/>
    <w:rsid w:val="00EC605B"/>
    <w:rsid w:val="00EF3DF6"/>
    <w:rsid w:val="00EF52D4"/>
    <w:rsid w:val="00F03BC2"/>
    <w:rsid w:val="00F33A67"/>
    <w:rsid w:val="00F42FE7"/>
    <w:rsid w:val="00F65A34"/>
    <w:rsid w:val="00F6745B"/>
    <w:rsid w:val="00F73112"/>
    <w:rsid w:val="00F85EA1"/>
    <w:rsid w:val="00FA088D"/>
    <w:rsid w:val="00FB1658"/>
    <w:rsid w:val="00FB235D"/>
    <w:rsid w:val="00FC1EDC"/>
    <w:rsid w:val="00FD65C5"/>
    <w:rsid w:val="00FD7780"/>
    <w:rsid w:val="00FF556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2F1DF"/>
  <w15:chartTrackingRefBased/>
  <w15:docId w15:val="{42817C46-7DEF-3040-821B-BD6217856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B0A"/>
  </w:style>
  <w:style w:type="paragraph" w:styleId="Titre3">
    <w:name w:val="heading 3"/>
    <w:basedOn w:val="Normal"/>
    <w:link w:val="Titre3Car"/>
    <w:uiPriority w:val="9"/>
    <w:qFormat/>
    <w:rsid w:val="00C10B0A"/>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user">
    <w:name w:val="Standard (user)"/>
    <w:rsid w:val="00B17D18"/>
    <w:pPr>
      <w:suppressAutoHyphens/>
      <w:autoSpaceDN w:val="0"/>
      <w:textAlignment w:val="baseline"/>
    </w:pPr>
    <w:rPr>
      <w:rFonts w:ascii="Times New Roman" w:eastAsia="Times New Roman" w:hAnsi="Times New Roman" w:cs="Times New Roman"/>
      <w:lang w:eastAsia="fr-FR"/>
    </w:rPr>
  </w:style>
  <w:style w:type="character" w:styleId="Appelnotedebasdep">
    <w:name w:val="footnote reference"/>
    <w:basedOn w:val="Policepardfaut"/>
    <w:unhideWhenUsed/>
    <w:rsid w:val="00B17D18"/>
    <w:rPr>
      <w:vertAlign w:val="superscript"/>
    </w:rPr>
  </w:style>
  <w:style w:type="paragraph" w:customStyle="1" w:styleId="Footnoteuser">
    <w:name w:val="Footnote (user)"/>
    <w:basedOn w:val="Standarduser"/>
    <w:rsid w:val="00B17D18"/>
    <w:rPr>
      <w:rFonts w:ascii="Calibri" w:eastAsia="Calibri" w:hAnsi="Calibri" w:cs="Arial"/>
      <w:sz w:val="20"/>
      <w:szCs w:val="20"/>
      <w:lang w:val="en-US" w:eastAsia="en-US"/>
    </w:rPr>
  </w:style>
  <w:style w:type="paragraph" w:customStyle="1" w:styleId="Standard">
    <w:name w:val="Standard"/>
    <w:rsid w:val="00B17D18"/>
    <w:pPr>
      <w:suppressAutoHyphens/>
      <w:autoSpaceDN w:val="0"/>
      <w:textAlignment w:val="baseline"/>
    </w:pPr>
    <w:rPr>
      <w:rFonts w:ascii="Times New Roman" w:eastAsia="Times New Roman" w:hAnsi="Times New Roman" w:cs="Times New Roman"/>
      <w:lang w:eastAsia="fr-FR"/>
    </w:rPr>
  </w:style>
  <w:style w:type="paragraph" w:customStyle="1" w:styleId="Footnote">
    <w:name w:val="Footnote"/>
    <w:basedOn w:val="Standard"/>
    <w:rsid w:val="00B17D18"/>
    <w:rPr>
      <w:sz w:val="20"/>
      <w:szCs w:val="20"/>
    </w:rPr>
  </w:style>
  <w:style w:type="paragraph" w:styleId="Notedebasdepage">
    <w:name w:val="footnote text"/>
    <w:aliases w:val="Note de bas de page EE"/>
    <w:basedOn w:val="Normal"/>
    <w:link w:val="NotedebasdepageCar1"/>
    <w:uiPriority w:val="99"/>
    <w:unhideWhenUsed/>
    <w:rsid w:val="00C10B0A"/>
    <w:rPr>
      <w:rFonts w:ascii="Times New Roman" w:hAnsi="Times New Roman"/>
      <w:sz w:val="20"/>
      <w:szCs w:val="20"/>
    </w:rPr>
  </w:style>
  <w:style w:type="character" w:customStyle="1" w:styleId="NotedebasdepageCar">
    <w:name w:val="Note de bas de page Car"/>
    <w:basedOn w:val="Policepardfaut"/>
    <w:uiPriority w:val="99"/>
    <w:rsid w:val="00B17D18"/>
    <w:rPr>
      <w:sz w:val="20"/>
      <w:szCs w:val="20"/>
    </w:rPr>
  </w:style>
  <w:style w:type="character" w:customStyle="1" w:styleId="NotedebasdepageCar1">
    <w:name w:val="Note de bas de page Car1"/>
    <w:aliases w:val="Note de bas de page EE Car"/>
    <w:basedOn w:val="Policepardfaut"/>
    <w:link w:val="Notedebasdepage"/>
    <w:uiPriority w:val="99"/>
    <w:rsid w:val="00B17D18"/>
    <w:rPr>
      <w:rFonts w:ascii="Times New Roman" w:hAnsi="Times New Roman"/>
      <w:sz w:val="20"/>
      <w:szCs w:val="20"/>
    </w:rPr>
  </w:style>
  <w:style w:type="character" w:styleId="Lienhypertexte">
    <w:name w:val="Hyperlink"/>
    <w:basedOn w:val="Policepardfaut"/>
    <w:uiPriority w:val="99"/>
    <w:unhideWhenUsed/>
    <w:rsid w:val="00B17D18"/>
    <w:rPr>
      <w:color w:val="0000FF"/>
      <w:u w:val="single"/>
    </w:rPr>
  </w:style>
  <w:style w:type="character" w:styleId="Lienhypertextesuivivisit">
    <w:name w:val="FollowedHyperlink"/>
    <w:basedOn w:val="Policepardfaut"/>
    <w:uiPriority w:val="99"/>
    <w:semiHidden/>
    <w:unhideWhenUsed/>
    <w:rsid w:val="00B17D18"/>
    <w:rPr>
      <w:color w:val="954F72" w:themeColor="followedHyperlink"/>
      <w:u w:val="single"/>
    </w:rPr>
  </w:style>
  <w:style w:type="character" w:customStyle="1" w:styleId="Titre3Car">
    <w:name w:val="Titre 3 Car"/>
    <w:basedOn w:val="Policepardfaut"/>
    <w:link w:val="Titre3"/>
    <w:uiPriority w:val="9"/>
    <w:rsid w:val="00C10B0A"/>
    <w:rPr>
      <w:rFonts w:ascii="Times New Roman" w:eastAsia="Times New Roman" w:hAnsi="Times New Roman" w:cs="Times New Roman"/>
      <w:b/>
      <w:bCs/>
      <w:sz w:val="27"/>
      <w:szCs w:val="27"/>
      <w:lang w:eastAsia="fr-FR"/>
    </w:rPr>
  </w:style>
  <w:style w:type="character" w:customStyle="1" w:styleId="uppercase">
    <w:name w:val="uppercase"/>
    <w:basedOn w:val="Policepardfaut"/>
    <w:rsid w:val="00C10B0A"/>
  </w:style>
  <w:style w:type="character" w:styleId="Marquedecommentaire">
    <w:name w:val="annotation reference"/>
    <w:basedOn w:val="Policepardfaut"/>
    <w:uiPriority w:val="99"/>
    <w:semiHidden/>
    <w:unhideWhenUsed/>
    <w:rsid w:val="00C10B0A"/>
    <w:rPr>
      <w:sz w:val="16"/>
      <w:szCs w:val="16"/>
    </w:rPr>
  </w:style>
  <w:style w:type="paragraph" w:styleId="Commentaire">
    <w:name w:val="annotation text"/>
    <w:basedOn w:val="Normal"/>
    <w:link w:val="CommentaireCar"/>
    <w:uiPriority w:val="99"/>
    <w:semiHidden/>
    <w:unhideWhenUsed/>
    <w:rsid w:val="00C10B0A"/>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C10B0A"/>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C10B0A"/>
    <w:rPr>
      <w:b/>
      <w:bCs/>
    </w:rPr>
  </w:style>
  <w:style w:type="character" w:customStyle="1" w:styleId="ObjetducommentaireCar">
    <w:name w:val="Objet du commentaire Car"/>
    <w:basedOn w:val="CommentaireCar"/>
    <w:link w:val="Objetducommentaire"/>
    <w:uiPriority w:val="99"/>
    <w:semiHidden/>
    <w:rsid w:val="00C10B0A"/>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C10B0A"/>
    <w:rPr>
      <w:rFonts w:ascii="Segoe UI" w:eastAsia="Times New Roman" w:hAnsi="Segoe UI" w:cs="Segoe UI"/>
      <w:sz w:val="18"/>
      <w:szCs w:val="18"/>
      <w:lang w:val="en-US"/>
    </w:rPr>
  </w:style>
  <w:style w:type="character" w:customStyle="1" w:styleId="TextedebullesCar">
    <w:name w:val="Texte de bulles Car"/>
    <w:basedOn w:val="Policepardfaut"/>
    <w:link w:val="Textedebulles"/>
    <w:uiPriority w:val="99"/>
    <w:semiHidden/>
    <w:rsid w:val="00C10B0A"/>
    <w:rPr>
      <w:rFonts w:ascii="Segoe UI" w:eastAsia="Times New Roman" w:hAnsi="Segoe UI" w:cs="Segoe UI"/>
      <w:sz w:val="18"/>
      <w:szCs w:val="18"/>
      <w:lang w:val="en-US"/>
    </w:rPr>
  </w:style>
  <w:style w:type="paragraph" w:styleId="En-tte">
    <w:name w:val="header"/>
    <w:basedOn w:val="Normal"/>
    <w:link w:val="En-tteCar"/>
    <w:uiPriority w:val="99"/>
    <w:unhideWhenUsed/>
    <w:rsid w:val="00C10B0A"/>
    <w:pPr>
      <w:tabs>
        <w:tab w:val="center" w:pos="4513"/>
        <w:tab w:val="right" w:pos="9026"/>
      </w:tabs>
    </w:pPr>
    <w:rPr>
      <w:rFonts w:ascii="Times New Roman" w:eastAsia="Times New Roman" w:hAnsi="Times New Roman" w:cs="Times New Roman"/>
      <w:lang w:val="en-US"/>
    </w:rPr>
  </w:style>
  <w:style w:type="character" w:customStyle="1" w:styleId="En-tteCar">
    <w:name w:val="En-tête Car"/>
    <w:basedOn w:val="Policepardfaut"/>
    <w:link w:val="En-tte"/>
    <w:uiPriority w:val="99"/>
    <w:rsid w:val="00C10B0A"/>
    <w:rPr>
      <w:rFonts w:ascii="Times New Roman" w:eastAsia="Times New Roman" w:hAnsi="Times New Roman" w:cs="Times New Roman"/>
      <w:lang w:val="en-US"/>
    </w:rPr>
  </w:style>
  <w:style w:type="paragraph" w:styleId="Pieddepage">
    <w:name w:val="footer"/>
    <w:basedOn w:val="Normal"/>
    <w:link w:val="PieddepageCar"/>
    <w:uiPriority w:val="99"/>
    <w:unhideWhenUsed/>
    <w:rsid w:val="00C10B0A"/>
    <w:pPr>
      <w:tabs>
        <w:tab w:val="center" w:pos="4513"/>
        <w:tab w:val="right" w:pos="9026"/>
      </w:tabs>
    </w:pPr>
    <w:rPr>
      <w:rFonts w:ascii="Times New Roman" w:eastAsia="Times New Roman" w:hAnsi="Times New Roman" w:cs="Times New Roman"/>
      <w:lang w:val="en-US"/>
    </w:rPr>
  </w:style>
  <w:style w:type="character" w:customStyle="1" w:styleId="PieddepageCar">
    <w:name w:val="Pied de page Car"/>
    <w:basedOn w:val="Policepardfaut"/>
    <w:link w:val="Pieddepage"/>
    <w:uiPriority w:val="99"/>
    <w:rsid w:val="00C10B0A"/>
    <w:rPr>
      <w:rFonts w:ascii="Times New Roman" w:eastAsia="Times New Roman" w:hAnsi="Times New Roman" w:cs="Times New Roman"/>
      <w:lang w:val="en-US"/>
    </w:rPr>
  </w:style>
  <w:style w:type="character" w:customStyle="1" w:styleId="qu">
    <w:name w:val="qu"/>
    <w:basedOn w:val="Policepardfaut"/>
    <w:rsid w:val="00C10B0A"/>
  </w:style>
  <w:style w:type="character" w:customStyle="1" w:styleId="go">
    <w:name w:val="go"/>
    <w:basedOn w:val="Policepardfaut"/>
    <w:rsid w:val="00C10B0A"/>
  </w:style>
  <w:style w:type="character" w:styleId="lev">
    <w:name w:val="Strong"/>
    <w:basedOn w:val="Policepardfaut"/>
    <w:uiPriority w:val="22"/>
    <w:qFormat/>
    <w:rsid w:val="00C10B0A"/>
    <w:rPr>
      <w:b/>
      <w:bCs/>
    </w:rPr>
  </w:style>
  <w:style w:type="character" w:customStyle="1" w:styleId="familyname">
    <w:name w:val="familyname"/>
    <w:basedOn w:val="Policepardfaut"/>
    <w:rsid w:val="00C10B0A"/>
  </w:style>
  <w:style w:type="character" w:styleId="Accentuation">
    <w:name w:val="Emphasis"/>
    <w:basedOn w:val="Policepardfaut"/>
    <w:uiPriority w:val="20"/>
    <w:qFormat/>
    <w:rsid w:val="00C10B0A"/>
    <w:rPr>
      <w:i/>
      <w:iCs/>
    </w:rPr>
  </w:style>
  <w:style w:type="paragraph" w:customStyle="1" w:styleId="tx">
    <w:name w:val="tx"/>
    <w:basedOn w:val="Normal"/>
    <w:rsid w:val="00C10B0A"/>
    <w:pPr>
      <w:spacing w:before="100" w:beforeAutospacing="1" w:after="100" w:afterAutospacing="1"/>
    </w:pPr>
    <w:rPr>
      <w:rFonts w:ascii="Times New Roman" w:eastAsia="Times New Roman" w:hAnsi="Times New Roman" w:cs="Times New Roman"/>
      <w:lang w:eastAsia="fr-FR"/>
    </w:rPr>
  </w:style>
  <w:style w:type="character" w:styleId="Numrodepage">
    <w:name w:val="page number"/>
    <w:basedOn w:val="Policepardfaut"/>
    <w:uiPriority w:val="99"/>
    <w:semiHidden/>
    <w:unhideWhenUsed/>
    <w:rsid w:val="00656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6917">
      <w:bodyDiv w:val="1"/>
      <w:marLeft w:val="0"/>
      <w:marRight w:val="0"/>
      <w:marTop w:val="0"/>
      <w:marBottom w:val="0"/>
      <w:divBdr>
        <w:top w:val="none" w:sz="0" w:space="0" w:color="auto"/>
        <w:left w:val="none" w:sz="0" w:space="0" w:color="auto"/>
        <w:bottom w:val="none" w:sz="0" w:space="0" w:color="auto"/>
        <w:right w:val="none" w:sz="0" w:space="0" w:color="auto"/>
      </w:divBdr>
    </w:div>
    <w:div w:id="66417579">
      <w:bodyDiv w:val="1"/>
      <w:marLeft w:val="0"/>
      <w:marRight w:val="0"/>
      <w:marTop w:val="0"/>
      <w:marBottom w:val="0"/>
      <w:divBdr>
        <w:top w:val="none" w:sz="0" w:space="0" w:color="auto"/>
        <w:left w:val="none" w:sz="0" w:space="0" w:color="auto"/>
        <w:bottom w:val="none" w:sz="0" w:space="0" w:color="auto"/>
        <w:right w:val="none" w:sz="0" w:space="0" w:color="auto"/>
      </w:divBdr>
    </w:div>
    <w:div w:id="99381451">
      <w:bodyDiv w:val="1"/>
      <w:marLeft w:val="0"/>
      <w:marRight w:val="0"/>
      <w:marTop w:val="0"/>
      <w:marBottom w:val="0"/>
      <w:divBdr>
        <w:top w:val="none" w:sz="0" w:space="0" w:color="auto"/>
        <w:left w:val="none" w:sz="0" w:space="0" w:color="auto"/>
        <w:bottom w:val="none" w:sz="0" w:space="0" w:color="auto"/>
        <w:right w:val="none" w:sz="0" w:space="0" w:color="auto"/>
      </w:divBdr>
    </w:div>
    <w:div w:id="706679197">
      <w:bodyDiv w:val="1"/>
      <w:marLeft w:val="0"/>
      <w:marRight w:val="0"/>
      <w:marTop w:val="0"/>
      <w:marBottom w:val="0"/>
      <w:divBdr>
        <w:top w:val="none" w:sz="0" w:space="0" w:color="auto"/>
        <w:left w:val="none" w:sz="0" w:space="0" w:color="auto"/>
        <w:bottom w:val="none" w:sz="0" w:space="0" w:color="auto"/>
        <w:right w:val="none" w:sz="0" w:space="0" w:color="auto"/>
      </w:divBdr>
    </w:div>
    <w:div w:id="940338007">
      <w:bodyDiv w:val="1"/>
      <w:marLeft w:val="0"/>
      <w:marRight w:val="0"/>
      <w:marTop w:val="0"/>
      <w:marBottom w:val="0"/>
      <w:divBdr>
        <w:top w:val="none" w:sz="0" w:space="0" w:color="auto"/>
        <w:left w:val="none" w:sz="0" w:space="0" w:color="auto"/>
        <w:bottom w:val="none" w:sz="0" w:space="0" w:color="auto"/>
        <w:right w:val="none" w:sz="0" w:space="0" w:color="auto"/>
      </w:divBdr>
    </w:div>
    <w:div w:id="1031415495">
      <w:bodyDiv w:val="1"/>
      <w:marLeft w:val="0"/>
      <w:marRight w:val="0"/>
      <w:marTop w:val="0"/>
      <w:marBottom w:val="0"/>
      <w:divBdr>
        <w:top w:val="none" w:sz="0" w:space="0" w:color="auto"/>
        <w:left w:val="none" w:sz="0" w:space="0" w:color="auto"/>
        <w:bottom w:val="none" w:sz="0" w:space="0" w:color="auto"/>
        <w:right w:val="none" w:sz="0" w:space="0" w:color="auto"/>
      </w:divBdr>
    </w:div>
    <w:div w:id="1067458793">
      <w:bodyDiv w:val="1"/>
      <w:marLeft w:val="0"/>
      <w:marRight w:val="0"/>
      <w:marTop w:val="0"/>
      <w:marBottom w:val="0"/>
      <w:divBdr>
        <w:top w:val="none" w:sz="0" w:space="0" w:color="auto"/>
        <w:left w:val="none" w:sz="0" w:space="0" w:color="auto"/>
        <w:bottom w:val="none" w:sz="0" w:space="0" w:color="auto"/>
        <w:right w:val="none" w:sz="0" w:space="0" w:color="auto"/>
      </w:divBdr>
    </w:div>
    <w:div w:id="1153375358">
      <w:bodyDiv w:val="1"/>
      <w:marLeft w:val="0"/>
      <w:marRight w:val="0"/>
      <w:marTop w:val="0"/>
      <w:marBottom w:val="0"/>
      <w:divBdr>
        <w:top w:val="none" w:sz="0" w:space="0" w:color="auto"/>
        <w:left w:val="none" w:sz="0" w:space="0" w:color="auto"/>
        <w:bottom w:val="none" w:sz="0" w:space="0" w:color="auto"/>
        <w:right w:val="none" w:sz="0" w:space="0" w:color="auto"/>
      </w:divBdr>
    </w:div>
    <w:div w:id="1375037811">
      <w:bodyDiv w:val="1"/>
      <w:marLeft w:val="0"/>
      <w:marRight w:val="0"/>
      <w:marTop w:val="0"/>
      <w:marBottom w:val="0"/>
      <w:divBdr>
        <w:top w:val="none" w:sz="0" w:space="0" w:color="auto"/>
        <w:left w:val="none" w:sz="0" w:space="0" w:color="auto"/>
        <w:bottom w:val="none" w:sz="0" w:space="0" w:color="auto"/>
        <w:right w:val="none" w:sz="0" w:space="0" w:color="auto"/>
      </w:divBdr>
    </w:div>
    <w:div w:id="1808088461">
      <w:bodyDiv w:val="1"/>
      <w:marLeft w:val="0"/>
      <w:marRight w:val="0"/>
      <w:marTop w:val="0"/>
      <w:marBottom w:val="0"/>
      <w:divBdr>
        <w:top w:val="none" w:sz="0" w:space="0" w:color="auto"/>
        <w:left w:val="none" w:sz="0" w:space="0" w:color="auto"/>
        <w:bottom w:val="none" w:sz="0" w:space="0" w:color="auto"/>
        <w:right w:val="none" w:sz="0" w:space="0" w:color="auto"/>
      </w:divBdr>
    </w:div>
    <w:div w:id="1906453186">
      <w:bodyDiv w:val="1"/>
      <w:marLeft w:val="0"/>
      <w:marRight w:val="0"/>
      <w:marTop w:val="0"/>
      <w:marBottom w:val="0"/>
      <w:divBdr>
        <w:top w:val="none" w:sz="0" w:space="0" w:color="auto"/>
        <w:left w:val="none" w:sz="0" w:space="0" w:color="auto"/>
        <w:bottom w:val="none" w:sz="0" w:space="0" w:color="auto"/>
        <w:right w:val="none" w:sz="0" w:space="0" w:color="auto"/>
      </w:divBdr>
    </w:div>
    <w:div w:id="192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humanite.fr/de-guerre-lasse-64544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humanite.fr/de-guerre-lasse-64544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F6D09-349B-8346-B929-AA99BDFDF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3275</Words>
  <Characters>18018</Characters>
  <Application>Microsoft Office Word</Application>
  <DocSecurity>0</DocSecurity>
  <Lines>150</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Hadas Zahavi</dc:creator>
  <cp:keywords/>
  <dc:description/>
  <cp:lastModifiedBy>Hadas Zahavi</cp:lastModifiedBy>
  <cp:revision>2</cp:revision>
  <dcterms:created xsi:type="dcterms:W3CDTF">2023-02-12T10:52:00Z</dcterms:created>
  <dcterms:modified xsi:type="dcterms:W3CDTF">2023-02-12T10:52:00Z</dcterms:modified>
</cp:coreProperties>
</file>