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Spec="inside"/>
        <w:bidiVisual/>
        <w:tblW w:w="8505" w:type="dxa"/>
        <w:tblLook w:val="01E0" w:firstRow="1" w:lastRow="1" w:firstColumn="1" w:lastColumn="1" w:noHBand="0" w:noVBand="0"/>
      </w:tblPr>
      <w:tblGrid>
        <w:gridCol w:w="2973"/>
        <w:gridCol w:w="1993"/>
        <w:gridCol w:w="3539"/>
      </w:tblGrid>
      <w:tr w:rsidR="00A714E5" w:rsidRPr="00832663" w:rsidTr="00C86D5C">
        <w:trPr>
          <w:trHeight w:val="1988"/>
        </w:trPr>
        <w:tc>
          <w:tcPr>
            <w:tcW w:w="2973" w:type="dxa"/>
          </w:tcPr>
          <w:p w:rsidR="00A714E5" w:rsidRPr="00832663" w:rsidRDefault="00A714E5" w:rsidP="00C86D5C">
            <w:pPr>
              <w:pStyle w:val="a3"/>
              <w:spacing w:line="360" w:lineRule="auto"/>
              <w:rPr>
                <w:rFonts w:asciiTheme="majorBidi" w:hAnsiTheme="majorBidi" w:cstheme="majorBidi"/>
                <w:sz w:val="38"/>
                <w:szCs w:val="38"/>
              </w:rPr>
            </w:pPr>
            <w:bookmarkStart w:id="0" w:name="_Toc80701492"/>
            <w:bookmarkStart w:id="1" w:name="_Toc80720858"/>
            <w:bookmarkStart w:id="2" w:name="_GoBack"/>
            <w:bookmarkEnd w:id="2"/>
            <w:r w:rsidRPr="00832663">
              <w:rPr>
                <w:rFonts w:asciiTheme="majorBidi" w:hAnsiTheme="majorBidi" w:cstheme="majorBidi"/>
                <w:sz w:val="38"/>
                <w:szCs w:val="38"/>
                <w:rtl/>
              </w:rPr>
              <w:t>אוניברסיטת תל-אביב</w:t>
            </w:r>
          </w:p>
          <w:p w:rsidR="00A714E5" w:rsidRPr="00832663" w:rsidRDefault="00A714E5" w:rsidP="00C86D5C">
            <w:pPr>
              <w:pStyle w:val="a3"/>
              <w:spacing w:line="360" w:lineRule="auto"/>
              <w:rPr>
                <w:rFonts w:asciiTheme="majorBidi" w:eastAsia="GulimChe" w:hAnsiTheme="majorBidi" w:cstheme="majorBidi"/>
                <w:szCs w:val="21"/>
                <w:rtl/>
              </w:rPr>
            </w:pPr>
            <w:r w:rsidRPr="00832663">
              <w:rPr>
                <w:rFonts w:asciiTheme="majorBidi" w:eastAsia="GulimChe" w:hAnsiTheme="majorBidi" w:cstheme="majorBidi"/>
                <w:szCs w:val="21"/>
                <w:rtl/>
              </w:rPr>
              <w:t>הפקולטה למדעי הרוח</w:t>
            </w:r>
          </w:p>
          <w:p w:rsidR="00A714E5" w:rsidRPr="00832663" w:rsidRDefault="00A714E5" w:rsidP="00C86D5C">
            <w:pPr>
              <w:pStyle w:val="a3"/>
              <w:spacing w:line="360" w:lineRule="auto"/>
              <w:rPr>
                <w:rFonts w:asciiTheme="majorBidi" w:eastAsia="GulimChe" w:hAnsiTheme="majorBidi" w:cstheme="majorBidi"/>
                <w:szCs w:val="21"/>
                <w:rtl/>
              </w:rPr>
            </w:pPr>
            <w:r w:rsidRPr="00832663">
              <w:rPr>
                <w:rFonts w:asciiTheme="majorBidi" w:eastAsia="GulimChe" w:hAnsiTheme="majorBidi" w:cstheme="majorBidi"/>
                <w:szCs w:val="21"/>
                <w:rtl/>
              </w:rPr>
              <w:t xml:space="preserve">ע"ש לסטר וסאלי אנטין </w:t>
            </w:r>
          </w:p>
          <w:p w:rsidR="00A714E5" w:rsidRPr="00832663" w:rsidRDefault="00A714E5" w:rsidP="00C86D5C">
            <w:pPr>
              <w:pStyle w:val="a3"/>
              <w:spacing w:line="360" w:lineRule="auto"/>
              <w:rPr>
                <w:rFonts w:asciiTheme="majorBidi" w:eastAsia="GulimChe" w:hAnsiTheme="majorBidi" w:cstheme="majorBidi"/>
                <w:szCs w:val="21"/>
                <w:rtl/>
              </w:rPr>
            </w:pPr>
            <w:r w:rsidRPr="00832663">
              <w:rPr>
                <w:rFonts w:asciiTheme="majorBidi" w:eastAsia="GulimChe" w:hAnsiTheme="majorBidi" w:cstheme="majorBidi"/>
                <w:szCs w:val="21"/>
                <w:rtl/>
              </w:rPr>
              <w:t>בית הספר למדעי התרבות</w:t>
            </w:r>
          </w:p>
          <w:p w:rsidR="00A714E5" w:rsidRPr="00832663" w:rsidRDefault="00A714E5" w:rsidP="00C86D5C">
            <w:pPr>
              <w:pStyle w:val="a3"/>
              <w:spacing w:line="360" w:lineRule="auto"/>
              <w:rPr>
                <w:rFonts w:asciiTheme="majorBidi" w:eastAsia="GulimChe" w:hAnsiTheme="majorBidi" w:cstheme="majorBidi"/>
                <w:sz w:val="18"/>
                <w:szCs w:val="19"/>
                <w:rtl/>
              </w:rPr>
            </w:pPr>
            <w:r w:rsidRPr="00832663">
              <w:rPr>
                <w:rFonts w:asciiTheme="majorBidi" w:eastAsia="GulimChe" w:hAnsiTheme="majorBidi" w:cstheme="majorBidi"/>
                <w:szCs w:val="21"/>
                <w:rtl/>
              </w:rPr>
              <w:t>ע"ש שירלי ולסלי פורטר</w:t>
            </w:r>
          </w:p>
        </w:tc>
        <w:tc>
          <w:tcPr>
            <w:tcW w:w="1993" w:type="dxa"/>
          </w:tcPr>
          <w:p w:rsidR="00A714E5" w:rsidRPr="00832663" w:rsidRDefault="00A714E5" w:rsidP="00C86D5C">
            <w:pPr>
              <w:pStyle w:val="a3"/>
              <w:spacing w:line="360" w:lineRule="auto"/>
              <w:jc w:val="right"/>
              <w:rPr>
                <w:rFonts w:asciiTheme="majorBidi" w:hAnsiTheme="majorBidi" w:cstheme="majorBidi"/>
                <w:sz w:val="46"/>
                <w:szCs w:val="46"/>
                <w:rtl/>
              </w:rPr>
            </w:pPr>
            <w:r w:rsidRPr="00832663">
              <w:rPr>
                <w:rFonts w:asciiTheme="majorBidi" w:hAnsiTheme="majorBidi" w:cstheme="majorBidi"/>
                <w:noProof/>
                <w:sz w:val="46"/>
                <w:szCs w:val="46"/>
                <w:rtl/>
              </w:rPr>
              <w:drawing>
                <wp:inline distT="0" distB="0" distL="0" distR="0" wp14:anchorId="19200892" wp14:editId="7CF57BE9">
                  <wp:extent cx="1128395" cy="704313"/>
                  <wp:effectExtent l="0" t="0" r="0" b="635"/>
                  <wp:docPr id="2" name="תמונה 2" descr="HEB_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B_bold"/>
                          <pic:cNvPicPr>
                            <a:picLocks noChangeAspect="1" noChangeArrowheads="1"/>
                          </pic:cNvPicPr>
                        </pic:nvPicPr>
                        <pic:blipFill>
                          <a:blip r:embed="rId6" cstate="print"/>
                          <a:srcRect/>
                          <a:stretch>
                            <a:fillRect/>
                          </a:stretch>
                        </pic:blipFill>
                        <pic:spPr bwMode="auto">
                          <a:xfrm>
                            <a:off x="0" y="0"/>
                            <a:ext cx="1128395" cy="704313"/>
                          </a:xfrm>
                          <a:prstGeom prst="rect">
                            <a:avLst/>
                          </a:prstGeom>
                          <a:noFill/>
                          <a:ln w="9525">
                            <a:noFill/>
                            <a:miter lim="800000"/>
                            <a:headEnd/>
                            <a:tailEnd/>
                          </a:ln>
                        </pic:spPr>
                      </pic:pic>
                    </a:graphicData>
                  </a:graphic>
                </wp:inline>
              </w:drawing>
            </w:r>
          </w:p>
        </w:tc>
        <w:tc>
          <w:tcPr>
            <w:tcW w:w="3539" w:type="dxa"/>
          </w:tcPr>
          <w:p w:rsidR="00A714E5" w:rsidRPr="00832663" w:rsidRDefault="00A714E5" w:rsidP="00C86D5C">
            <w:pPr>
              <w:pStyle w:val="a3"/>
              <w:bidi w:val="0"/>
              <w:spacing w:line="360" w:lineRule="auto"/>
              <w:rPr>
                <w:rFonts w:asciiTheme="majorBidi" w:hAnsiTheme="majorBidi" w:cstheme="majorBidi"/>
                <w:sz w:val="28"/>
                <w:szCs w:val="28"/>
              </w:rPr>
            </w:pPr>
            <w:r w:rsidRPr="00832663">
              <w:rPr>
                <w:rFonts w:asciiTheme="majorBidi" w:hAnsiTheme="majorBidi" w:cstheme="majorBidi"/>
                <w:sz w:val="28"/>
                <w:szCs w:val="28"/>
              </w:rPr>
              <w:t>TEL AVIV UNIVERSITY</w:t>
            </w:r>
          </w:p>
          <w:p w:rsidR="00A714E5" w:rsidRPr="00832663" w:rsidRDefault="00A714E5" w:rsidP="00C86D5C">
            <w:pPr>
              <w:pStyle w:val="a3"/>
              <w:bidi w:val="0"/>
              <w:spacing w:line="360" w:lineRule="auto"/>
              <w:jc w:val="right"/>
              <w:rPr>
                <w:rFonts w:asciiTheme="majorBidi" w:hAnsiTheme="majorBidi" w:cstheme="majorBidi"/>
                <w:sz w:val="28"/>
                <w:szCs w:val="28"/>
              </w:rPr>
            </w:pPr>
          </w:p>
          <w:p w:rsidR="00A714E5" w:rsidRPr="00832663" w:rsidRDefault="00A714E5" w:rsidP="00C86D5C">
            <w:pPr>
              <w:pStyle w:val="a3"/>
              <w:bidi w:val="0"/>
              <w:spacing w:line="360" w:lineRule="auto"/>
              <w:rPr>
                <w:rFonts w:asciiTheme="majorBidi" w:eastAsia="NSimSun" w:hAnsiTheme="majorBidi" w:cstheme="majorBidi"/>
                <w:b/>
                <w:bCs/>
                <w:sz w:val="6"/>
                <w:szCs w:val="6"/>
              </w:rPr>
            </w:pPr>
          </w:p>
          <w:p w:rsidR="00A714E5" w:rsidRPr="00832663" w:rsidRDefault="00A714E5" w:rsidP="00C86D5C">
            <w:pPr>
              <w:pStyle w:val="a3"/>
              <w:bidi w:val="0"/>
              <w:spacing w:line="360" w:lineRule="auto"/>
              <w:rPr>
                <w:rFonts w:asciiTheme="majorBidi" w:eastAsia="NSimSun" w:hAnsiTheme="majorBidi" w:cstheme="majorBidi"/>
                <w:sz w:val="17"/>
                <w:szCs w:val="17"/>
              </w:rPr>
            </w:pPr>
            <w:r w:rsidRPr="00832663">
              <w:rPr>
                <w:rFonts w:asciiTheme="majorBidi" w:eastAsia="NSimSun" w:hAnsiTheme="majorBidi" w:cstheme="majorBidi"/>
                <w:sz w:val="17"/>
                <w:szCs w:val="17"/>
              </w:rPr>
              <w:t>THE LESTER AND SALLY ENTIN</w:t>
            </w:r>
          </w:p>
          <w:p w:rsidR="00A714E5" w:rsidRPr="00832663" w:rsidRDefault="00A714E5" w:rsidP="00C86D5C">
            <w:pPr>
              <w:pStyle w:val="a3"/>
              <w:bidi w:val="0"/>
              <w:spacing w:line="360" w:lineRule="auto"/>
              <w:rPr>
                <w:rFonts w:asciiTheme="majorBidi" w:eastAsia="NSimSun" w:hAnsiTheme="majorBidi" w:cstheme="majorBidi"/>
                <w:sz w:val="17"/>
                <w:szCs w:val="17"/>
              </w:rPr>
            </w:pPr>
            <w:r w:rsidRPr="00832663">
              <w:rPr>
                <w:rFonts w:asciiTheme="majorBidi" w:eastAsia="NSimSun" w:hAnsiTheme="majorBidi" w:cstheme="majorBidi"/>
                <w:sz w:val="17"/>
                <w:szCs w:val="17"/>
              </w:rPr>
              <w:t xml:space="preserve"> FACULTY OF HUMANITIES</w:t>
            </w:r>
          </w:p>
          <w:p w:rsidR="00A714E5" w:rsidRPr="00832663" w:rsidRDefault="00A714E5" w:rsidP="00C86D5C">
            <w:pPr>
              <w:pStyle w:val="a3"/>
              <w:bidi w:val="0"/>
              <w:spacing w:line="360" w:lineRule="auto"/>
              <w:rPr>
                <w:rFonts w:asciiTheme="majorBidi" w:eastAsia="NSimSun" w:hAnsiTheme="majorBidi" w:cstheme="majorBidi"/>
                <w:sz w:val="17"/>
                <w:szCs w:val="17"/>
              </w:rPr>
            </w:pPr>
            <w:r w:rsidRPr="00832663">
              <w:rPr>
                <w:rFonts w:asciiTheme="majorBidi" w:eastAsia="NSimSun" w:hAnsiTheme="majorBidi" w:cstheme="majorBidi"/>
                <w:sz w:val="17"/>
                <w:szCs w:val="17"/>
              </w:rPr>
              <w:t>THE SHIRLEY AND LESLIE PORTER</w:t>
            </w:r>
          </w:p>
          <w:p w:rsidR="00A714E5" w:rsidRPr="00832663" w:rsidRDefault="00A714E5" w:rsidP="00C86D5C">
            <w:pPr>
              <w:pStyle w:val="a3"/>
              <w:bidi w:val="0"/>
              <w:spacing w:line="360" w:lineRule="auto"/>
              <w:rPr>
                <w:rFonts w:asciiTheme="majorBidi" w:eastAsia="NSimSun" w:hAnsiTheme="majorBidi" w:cstheme="majorBidi"/>
                <w:sz w:val="17"/>
                <w:szCs w:val="17"/>
              </w:rPr>
            </w:pPr>
            <w:r w:rsidRPr="00832663">
              <w:rPr>
                <w:rFonts w:asciiTheme="majorBidi" w:eastAsia="NSimSun" w:hAnsiTheme="majorBidi" w:cstheme="majorBidi"/>
                <w:sz w:val="17"/>
                <w:szCs w:val="17"/>
              </w:rPr>
              <w:t>SCHOOL OF CULTURAL STUDIES</w:t>
            </w:r>
          </w:p>
        </w:tc>
      </w:tr>
    </w:tbl>
    <w:p w:rsidR="00A714E5" w:rsidRPr="00832663" w:rsidRDefault="00A714E5" w:rsidP="00A714E5">
      <w:pPr>
        <w:spacing w:line="360" w:lineRule="auto"/>
        <w:rPr>
          <w:rFonts w:asciiTheme="majorBidi" w:hAnsiTheme="majorBidi" w:cstheme="majorBidi"/>
          <w:sz w:val="20"/>
          <w:szCs w:val="20"/>
          <w:rtl/>
          <w:lang w:bidi="ar-SA"/>
        </w:rPr>
      </w:pPr>
    </w:p>
    <w:tbl>
      <w:tblPr>
        <w:tblpPr w:leftFromText="45" w:rightFromText="45" w:vertAnchor="text" w:tblpY="44"/>
        <w:bidiVisual/>
        <w:tblW w:w="8505" w:type="dxa"/>
        <w:tblCellMar>
          <w:left w:w="0" w:type="dxa"/>
          <w:right w:w="0" w:type="dxa"/>
        </w:tblCellMar>
        <w:tblLook w:val="04A0" w:firstRow="1" w:lastRow="0" w:firstColumn="1" w:lastColumn="0" w:noHBand="0" w:noVBand="1"/>
      </w:tblPr>
      <w:tblGrid>
        <w:gridCol w:w="8505"/>
      </w:tblGrid>
      <w:tr w:rsidR="00A714E5" w:rsidRPr="00832663" w:rsidTr="00C86D5C">
        <w:trPr>
          <w:trHeight w:val="88"/>
        </w:trPr>
        <w:tc>
          <w:tcPr>
            <w:tcW w:w="8505" w:type="dxa"/>
            <w:vAlign w:val="center"/>
            <w:hideMark/>
          </w:tcPr>
          <w:p w:rsidR="00A714E5" w:rsidRPr="00832663" w:rsidRDefault="00A714E5" w:rsidP="00C86D5C">
            <w:pPr>
              <w:spacing w:line="360" w:lineRule="auto"/>
              <w:jc w:val="center"/>
              <w:rPr>
                <w:rFonts w:asciiTheme="majorBidi" w:hAnsiTheme="majorBidi" w:cstheme="majorBidi"/>
                <w:sz w:val="40"/>
                <w:szCs w:val="40"/>
                <w:rtl/>
              </w:rPr>
            </w:pPr>
            <w:r w:rsidRPr="00832663">
              <w:rPr>
                <w:rFonts w:asciiTheme="majorBidi" w:hAnsiTheme="majorBidi" w:cstheme="majorBidi"/>
                <w:sz w:val="40"/>
                <w:szCs w:val="40"/>
                <w:rtl/>
              </w:rPr>
              <w:t>תכנים וטכניקות ברומן הנשי הפלסטיני בצדי הקו הירוק ובפזורה– מחקר השוואתי</w:t>
            </w:r>
          </w:p>
          <w:p w:rsidR="00A714E5" w:rsidRPr="00832663" w:rsidRDefault="00A714E5" w:rsidP="00C86D5C">
            <w:pPr>
              <w:spacing w:line="360" w:lineRule="auto"/>
              <w:rPr>
                <w:rFonts w:asciiTheme="majorBidi" w:hAnsiTheme="majorBidi" w:cstheme="majorBidi"/>
                <w:sz w:val="18"/>
                <w:szCs w:val="18"/>
                <w:highlight w:val="cyan"/>
                <w:rtl/>
              </w:rPr>
            </w:pPr>
          </w:p>
          <w:p w:rsidR="00A714E5" w:rsidRPr="00832663" w:rsidRDefault="00A714E5" w:rsidP="00C86D5C">
            <w:pPr>
              <w:spacing w:line="360" w:lineRule="auto"/>
              <w:jc w:val="center"/>
              <w:rPr>
                <w:rFonts w:asciiTheme="majorBidi" w:hAnsiTheme="majorBidi" w:cstheme="majorBidi"/>
                <w:sz w:val="40"/>
                <w:szCs w:val="40"/>
                <w:rtl/>
                <w:lang w:bidi="ar-JO"/>
              </w:rPr>
            </w:pPr>
            <w:r w:rsidRPr="00832663">
              <w:rPr>
                <w:rFonts w:asciiTheme="majorBidi" w:hAnsiTheme="majorBidi" w:cstheme="majorBidi"/>
                <w:sz w:val="40"/>
                <w:szCs w:val="40"/>
                <w:rtl/>
                <w:lang w:bidi="ar-JO"/>
              </w:rPr>
              <w:t>مضامين وتقنيات الرواية النسويّة الفلسطينية في طرفي الخط الأخضر والشتات – دراسة مقارنة</w:t>
            </w:r>
          </w:p>
          <w:p w:rsidR="00A714E5" w:rsidRPr="00832663" w:rsidRDefault="00A714E5" w:rsidP="00C86D5C">
            <w:pPr>
              <w:rPr>
                <w:rFonts w:asciiTheme="majorBidi" w:hAnsiTheme="majorBidi" w:cstheme="majorBidi"/>
                <w:lang w:bidi="ar-JO"/>
              </w:rPr>
            </w:pPr>
          </w:p>
          <w:p w:rsidR="00A714E5" w:rsidRPr="00832663" w:rsidRDefault="00A714E5" w:rsidP="00C86D5C">
            <w:pPr>
              <w:spacing w:line="360" w:lineRule="auto"/>
              <w:jc w:val="center"/>
              <w:rPr>
                <w:rFonts w:asciiTheme="majorBidi" w:hAnsiTheme="majorBidi" w:cstheme="majorBidi"/>
                <w:sz w:val="24"/>
                <w:szCs w:val="24"/>
                <w:rtl/>
              </w:rPr>
            </w:pPr>
            <w:r w:rsidRPr="00832663">
              <w:rPr>
                <w:rFonts w:asciiTheme="majorBidi" w:hAnsiTheme="majorBidi" w:cstheme="majorBidi"/>
                <w:sz w:val="24"/>
                <w:szCs w:val="24"/>
                <w:rtl/>
              </w:rPr>
              <w:t>חיבור לשם קבלת התואר "דוקטור לפילוסופיה</w:t>
            </w:r>
            <w:r w:rsidRPr="00832663">
              <w:rPr>
                <w:rFonts w:asciiTheme="majorBidi" w:hAnsiTheme="majorBidi" w:cstheme="majorBidi"/>
                <w:sz w:val="24"/>
                <w:szCs w:val="24"/>
              </w:rPr>
              <w:t>"</w:t>
            </w:r>
          </w:p>
          <w:p w:rsidR="00A714E5" w:rsidRPr="00832663" w:rsidRDefault="00A714E5" w:rsidP="00C86D5C">
            <w:pPr>
              <w:spacing w:line="360" w:lineRule="auto"/>
              <w:rPr>
                <w:rFonts w:asciiTheme="majorBidi" w:hAnsiTheme="majorBidi" w:cstheme="majorBidi"/>
                <w:sz w:val="18"/>
                <w:szCs w:val="18"/>
                <w:rtl/>
              </w:rPr>
            </w:pPr>
          </w:p>
          <w:p w:rsidR="00A714E5" w:rsidRPr="00832663" w:rsidRDefault="00A714E5" w:rsidP="00C86D5C">
            <w:pPr>
              <w:jc w:val="center"/>
              <w:rPr>
                <w:rFonts w:asciiTheme="majorBidi" w:hAnsiTheme="majorBidi" w:cstheme="majorBidi"/>
                <w:b/>
                <w:bCs/>
                <w:sz w:val="24"/>
                <w:szCs w:val="24"/>
              </w:rPr>
            </w:pPr>
            <w:r w:rsidRPr="00832663">
              <w:rPr>
                <w:rFonts w:asciiTheme="majorBidi" w:hAnsiTheme="majorBidi" w:cstheme="majorBidi"/>
                <w:b/>
                <w:bCs/>
                <w:sz w:val="24"/>
                <w:szCs w:val="24"/>
                <w:rtl/>
              </w:rPr>
              <w:t>מאת</w:t>
            </w:r>
            <w:r w:rsidRPr="00832663">
              <w:rPr>
                <w:rFonts w:asciiTheme="majorBidi" w:hAnsiTheme="majorBidi" w:cstheme="majorBidi"/>
                <w:b/>
                <w:bCs/>
                <w:sz w:val="24"/>
                <w:szCs w:val="24"/>
              </w:rPr>
              <w:t>:</w:t>
            </w:r>
            <w:r w:rsidRPr="00832663">
              <w:rPr>
                <w:rFonts w:asciiTheme="majorBidi" w:hAnsiTheme="majorBidi" w:cstheme="majorBidi"/>
                <w:b/>
                <w:bCs/>
                <w:sz w:val="24"/>
                <w:szCs w:val="24"/>
                <w:rtl/>
              </w:rPr>
              <w:t xml:space="preserve"> ראדי יסמין</w:t>
            </w:r>
          </w:p>
          <w:p w:rsidR="00A714E5" w:rsidRPr="00832663" w:rsidRDefault="00A714E5" w:rsidP="00C86D5C">
            <w:pPr>
              <w:jc w:val="center"/>
              <w:rPr>
                <w:rFonts w:asciiTheme="majorBidi" w:hAnsiTheme="majorBidi" w:cstheme="majorBidi"/>
                <w:b/>
                <w:bCs/>
                <w:sz w:val="24"/>
                <w:szCs w:val="24"/>
                <w:rtl/>
              </w:rPr>
            </w:pPr>
            <w:r w:rsidRPr="00832663">
              <w:rPr>
                <w:rFonts w:asciiTheme="majorBidi" w:hAnsiTheme="majorBidi" w:cstheme="majorBidi"/>
                <w:b/>
                <w:bCs/>
                <w:sz w:val="24"/>
                <w:szCs w:val="24"/>
                <w:rtl/>
              </w:rPr>
              <w:t xml:space="preserve">ת"ז: </w:t>
            </w:r>
            <w:r w:rsidRPr="00832663">
              <w:rPr>
                <w:rFonts w:asciiTheme="majorBidi" w:hAnsiTheme="majorBidi" w:cstheme="majorBidi"/>
                <w:b/>
                <w:bCs/>
                <w:sz w:val="24"/>
                <w:szCs w:val="24"/>
              </w:rPr>
              <w:t xml:space="preserve"> </w:t>
            </w:r>
            <w:r w:rsidRPr="00832663">
              <w:rPr>
                <w:rFonts w:asciiTheme="majorBidi" w:hAnsiTheme="majorBidi" w:cstheme="majorBidi"/>
                <w:b/>
                <w:bCs/>
                <w:sz w:val="24"/>
                <w:szCs w:val="24"/>
                <w:rtl/>
              </w:rPr>
              <w:t>036181246</w:t>
            </w:r>
          </w:p>
          <w:p w:rsidR="00A714E5" w:rsidRPr="00832663" w:rsidRDefault="00A714E5" w:rsidP="00C86D5C">
            <w:pPr>
              <w:spacing w:line="360" w:lineRule="auto"/>
              <w:rPr>
                <w:rFonts w:asciiTheme="majorBidi" w:hAnsiTheme="majorBidi" w:cstheme="majorBidi"/>
                <w:sz w:val="24"/>
                <w:szCs w:val="24"/>
              </w:rPr>
            </w:pPr>
          </w:p>
          <w:p w:rsidR="00A714E5" w:rsidRPr="00832663" w:rsidRDefault="00A714E5" w:rsidP="00C86D5C">
            <w:pPr>
              <w:spacing w:line="360" w:lineRule="auto"/>
              <w:rPr>
                <w:rFonts w:asciiTheme="majorBidi" w:hAnsiTheme="majorBidi" w:cstheme="majorBidi"/>
                <w:sz w:val="24"/>
                <w:szCs w:val="24"/>
                <w:rtl/>
              </w:rPr>
            </w:pPr>
          </w:p>
          <w:p w:rsidR="00A714E5" w:rsidRPr="00832663" w:rsidRDefault="00A714E5" w:rsidP="00C86D5C">
            <w:pPr>
              <w:spacing w:line="360" w:lineRule="auto"/>
              <w:jc w:val="center"/>
              <w:rPr>
                <w:rFonts w:asciiTheme="majorBidi" w:hAnsiTheme="majorBidi" w:cstheme="majorBidi"/>
                <w:b/>
                <w:bCs/>
                <w:sz w:val="24"/>
                <w:szCs w:val="24"/>
                <w:rtl/>
              </w:rPr>
            </w:pPr>
            <w:r w:rsidRPr="00832663">
              <w:rPr>
                <w:rFonts w:asciiTheme="majorBidi" w:hAnsiTheme="majorBidi" w:cstheme="majorBidi"/>
                <w:b/>
                <w:bCs/>
                <w:sz w:val="24"/>
                <w:szCs w:val="24"/>
                <w:rtl/>
              </w:rPr>
              <w:t>מנחה: פרופ' ג'יריס ח'ורי</w:t>
            </w:r>
          </w:p>
          <w:p w:rsidR="00A714E5" w:rsidRPr="00832663" w:rsidRDefault="00A714E5" w:rsidP="00C86D5C">
            <w:pPr>
              <w:bidi w:val="0"/>
              <w:spacing w:line="360" w:lineRule="auto"/>
              <w:jc w:val="center"/>
              <w:rPr>
                <w:rFonts w:asciiTheme="majorBidi" w:hAnsiTheme="majorBidi" w:cstheme="majorBidi"/>
                <w:sz w:val="24"/>
                <w:szCs w:val="24"/>
              </w:rPr>
            </w:pPr>
            <w:r w:rsidRPr="00832663">
              <w:rPr>
                <w:rFonts w:asciiTheme="majorBidi" w:hAnsiTheme="majorBidi" w:cstheme="majorBidi"/>
                <w:sz w:val="24"/>
                <w:szCs w:val="24"/>
                <w:rtl/>
              </w:rPr>
              <w:t>הוגש לסנאט של אוניברסיטת תל-אביב</w:t>
            </w:r>
          </w:p>
          <w:p w:rsidR="00A714E5" w:rsidRPr="00832663" w:rsidRDefault="00A714E5" w:rsidP="00C86D5C">
            <w:pPr>
              <w:bidi w:val="0"/>
              <w:spacing w:line="360" w:lineRule="auto"/>
              <w:rPr>
                <w:rFonts w:asciiTheme="majorBidi" w:hAnsiTheme="majorBidi" w:cstheme="majorBidi"/>
                <w:sz w:val="24"/>
                <w:szCs w:val="24"/>
              </w:rPr>
            </w:pPr>
          </w:p>
          <w:p w:rsidR="00A714E5" w:rsidRPr="00832663" w:rsidRDefault="00A714E5" w:rsidP="00C86D5C">
            <w:pPr>
              <w:bidi w:val="0"/>
              <w:spacing w:line="360" w:lineRule="auto"/>
              <w:jc w:val="center"/>
              <w:rPr>
                <w:rFonts w:asciiTheme="majorBidi" w:hAnsiTheme="majorBidi" w:cstheme="majorBidi"/>
                <w:sz w:val="24"/>
                <w:szCs w:val="24"/>
              </w:rPr>
            </w:pPr>
            <w:r w:rsidRPr="00832663">
              <w:rPr>
                <w:rFonts w:asciiTheme="majorBidi" w:hAnsiTheme="majorBidi" w:cstheme="majorBidi"/>
                <w:sz w:val="24"/>
                <w:szCs w:val="24"/>
                <w:rtl/>
              </w:rPr>
              <w:t>אוגוסט,2021</w:t>
            </w:r>
          </w:p>
        </w:tc>
      </w:tr>
    </w:tbl>
    <w:p w:rsidR="00A714E5" w:rsidRPr="00832663" w:rsidRDefault="00A714E5" w:rsidP="00A714E5">
      <w:pPr>
        <w:pStyle w:val="a5"/>
        <w:spacing w:line="360" w:lineRule="auto"/>
        <w:jc w:val="center"/>
        <w:rPr>
          <w:rFonts w:asciiTheme="majorBidi" w:hAnsiTheme="majorBidi" w:cstheme="majorBidi"/>
          <w:sz w:val="16"/>
          <w:szCs w:val="16"/>
          <w:rtl/>
        </w:rPr>
      </w:pPr>
      <w:r w:rsidRPr="00832663">
        <w:rPr>
          <w:rFonts w:asciiTheme="majorBidi" w:eastAsia="GulimChe" w:hAnsiTheme="majorBidi" w:cstheme="majorBidi"/>
          <w:sz w:val="16"/>
          <w:szCs w:val="16"/>
          <w:rtl/>
        </w:rPr>
        <w:t>קריית האוניברסיטה, ת"ד 39040, רמת-אביב, תל-אביב 69978. טלפון: 03-6409325, פקס: 03-6407909</w:t>
      </w:r>
    </w:p>
    <w:p w:rsidR="00A714E5" w:rsidRDefault="00A714E5" w:rsidP="00A714E5">
      <w:pPr>
        <w:pStyle w:val="a5"/>
        <w:spacing w:line="360" w:lineRule="auto"/>
        <w:jc w:val="center"/>
        <w:rPr>
          <w:rFonts w:asciiTheme="majorBidi" w:hAnsiTheme="majorBidi" w:cstheme="majorBidi"/>
          <w:rtl/>
          <w:lang w:bidi="ar-SA"/>
        </w:rPr>
        <w:sectPr w:rsidR="00A714E5" w:rsidSect="00C7213B">
          <w:headerReference w:type="default" r:id="rId7"/>
          <w:headerReference w:type="first" r:id="rId8"/>
          <w:pgSz w:w="11906" w:h="16838"/>
          <w:pgMar w:top="1440" w:right="1800" w:bottom="1440" w:left="1800" w:header="708" w:footer="708" w:gutter="0"/>
          <w:pgNumType w:start="0"/>
          <w:cols w:space="708"/>
          <w:titlePg/>
          <w:bidi/>
          <w:rtlGutter/>
          <w:docGrid w:linePitch="360"/>
        </w:sectPr>
      </w:pPr>
      <w:r w:rsidRPr="00832663">
        <w:rPr>
          <w:rFonts w:asciiTheme="majorBidi" w:eastAsia="MS UI Gothic" w:hAnsiTheme="majorBidi" w:cstheme="majorBidi"/>
          <w:sz w:val="16"/>
          <w:szCs w:val="16"/>
        </w:rPr>
        <w:t>TEL AVIV UNIVERSITY, P.O.B. 39040, RAMAT AVIV, TEL AVIV 69978, ISRAEL. TE</w:t>
      </w:r>
      <w:r>
        <w:rPr>
          <w:rFonts w:asciiTheme="majorBidi" w:eastAsia="MS UI Gothic" w:hAnsiTheme="majorBidi" w:cstheme="majorBidi"/>
          <w:sz w:val="16"/>
          <w:szCs w:val="16"/>
        </w:rPr>
        <w:t>L. 03-6409325, FAX 972-3-6407</w:t>
      </w:r>
    </w:p>
    <w:bookmarkEnd w:id="0"/>
    <w:bookmarkEnd w:id="1"/>
    <w:p w:rsidR="00102690" w:rsidRPr="00A714E5" w:rsidRDefault="00A714E5" w:rsidP="00A714E5">
      <w:pPr>
        <w:spacing w:line="360" w:lineRule="auto"/>
        <w:jc w:val="center"/>
        <w:rPr>
          <w:rFonts w:asciiTheme="majorBidi" w:hAnsiTheme="majorBidi" w:cstheme="majorBidi"/>
          <w:b/>
          <w:bCs/>
          <w:sz w:val="28"/>
          <w:szCs w:val="28"/>
          <w:rtl/>
        </w:rPr>
      </w:pPr>
      <w:r w:rsidRPr="00A714E5">
        <w:rPr>
          <w:rFonts w:asciiTheme="majorBidi" w:hAnsiTheme="majorBidi" w:cstheme="majorBidi" w:hint="cs"/>
          <w:b/>
          <w:bCs/>
          <w:sz w:val="28"/>
          <w:szCs w:val="28"/>
          <w:rtl/>
        </w:rPr>
        <w:lastRenderedPageBreak/>
        <w:t>תקציר</w:t>
      </w:r>
    </w:p>
    <w:p w:rsidR="00102690" w:rsidRPr="00832663" w:rsidRDefault="00102690" w:rsidP="00102690">
      <w:pPr>
        <w:spacing w:line="360" w:lineRule="auto"/>
        <w:jc w:val="both"/>
        <w:rPr>
          <w:rFonts w:asciiTheme="majorBidi" w:hAnsiTheme="majorBidi" w:cstheme="majorBidi"/>
          <w:sz w:val="24"/>
          <w:szCs w:val="24"/>
          <w:rtl/>
          <w:lang w:bidi="ar-SA"/>
        </w:rPr>
      </w:pPr>
      <w:r w:rsidRPr="00832663">
        <w:rPr>
          <w:rFonts w:asciiTheme="majorBidi" w:hAnsiTheme="majorBidi" w:cstheme="majorBidi"/>
          <w:sz w:val="24"/>
          <w:szCs w:val="24"/>
          <w:rtl/>
        </w:rPr>
        <w:t>עניינו של מחקר זה הוא הרומן הנשי הפלסטיני משני עבריו של הקו הירוק ובארצות ההגירה בשלבי התפתחותו האחרונים</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 xml:space="preserve">באמצעות קריאה וניתוח של מספר רומנים נשיים פלסטיניים שהופיעו באזורים  אלה בשנים 2018-2005, המחקר דן בהיבטים של התכנים והסגנונות המאפיינים את הרומנים ומשווה ביניהם בהיבטים אלה. נקודת המוצא של המחקר היא, כי לספרות הפלסטינית יש סממנים מסוימים המיוחדים לה למרות היותה חלק בלתי נפרד מן הספרות הערבית המודרנית. עוד אני מניחה, כי אף שהספרות הפלסטינית היא ז'אנר שסגנונו ותכניו נושקים במעטפת, הרי בתוך ז'אנר זה קיימת שונוּת מובהקת בסגנון ובתוכן הקשורה לאזורים הגאוגרפים שבהם הופיע ז'אנר זה.       </w:t>
      </w:r>
      <w:r w:rsidRPr="00832663">
        <w:rPr>
          <w:rFonts w:asciiTheme="majorBidi" w:hAnsiTheme="majorBidi" w:cstheme="majorBidi"/>
          <w:sz w:val="24"/>
          <w:szCs w:val="24"/>
          <w:rtl/>
          <w:lang w:bidi="ar-SA"/>
        </w:rPr>
        <w:t xml:space="preserve"> </w:t>
      </w:r>
    </w:p>
    <w:p w:rsidR="00102690" w:rsidRPr="00832663" w:rsidRDefault="00102690" w:rsidP="00102690">
      <w:pPr>
        <w:spacing w:line="360" w:lineRule="auto"/>
        <w:jc w:val="both"/>
        <w:rPr>
          <w:rFonts w:asciiTheme="majorBidi" w:hAnsiTheme="majorBidi" w:cstheme="majorBidi"/>
          <w:sz w:val="24"/>
          <w:szCs w:val="24"/>
          <w:rtl/>
        </w:rPr>
      </w:pPr>
      <w:r w:rsidRPr="00832663">
        <w:rPr>
          <w:rFonts w:asciiTheme="majorBidi" w:hAnsiTheme="majorBidi" w:cstheme="majorBidi"/>
          <w:sz w:val="24"/>
          <w:szCs w:val="24"/>
          <w:rtl/>
        </w:rPr>
        <w:t>מחקר זה כולל חמישה פרקים עיקריים. כותרתו של הפרק הראשון היא "התגבשות התכנים של הרומן הערבי המודרני". בחלק הראשון ניסיתי להגדיר את המושג "רומן". מסקנתי היא שמושג זה נזיל  והגדרתו אינה מוסכמת על רבים מן החוקרים, החולקים ביניהם בשל סיבות שונות. על כן, קשה להגיע אל הגדרה מוסכמות ומקיפה למושג זה. למרות זאת, רוב החוקרים מסכימים לחלוטין שהרומן הוא מן האומנויות הפרוזאיות המודרניות. בחלק זה סקרתי גם את השורשים של המושג רומן ואת הבעייתיות הקשורות אליו בעולם הערבי והמערבי, והראיתי כי הדעות סותרות באשר למקור הרומן הערבי המודרני. הנקודה הוודאית היא, שהרומן הערבי הוא ז'אנר אומנותי חדש ששאב את מהותו מהספרות המערבית, ובשל נסיבות מסוימות נכנס אל הספרות הערבית באיחור מה.</w:t>
      </w:r>
    </w:p>
    <w:p w:rsidR="00102690" w:rsidRPr="00832663" w:rsidRDefault="00102690" w:rsidP="00102690">
      <w:pPr>
        <w:spacing w:line="360" w:lineRule="auto"/>
        <w:jc w:val="both"/>
        <w:rPr>
          <w:rFonts w:asciiTheme="majorBidi" w:hAnsiTheme="majorBidi" w:cstheme="majorBidi"/>
          <w:sz w:val="24"/>
          <w:szCs w:val="24"/>
          <w:rtl/>
        </w:rPr>
      </w:pPr>
      <w:r w:rsidRPr="00832663">
        <w:rPr>
          <w:rFonts w:asciiTheme="majorBidi" w:hAnsiTheme="majorBidi" w:cstheme="majorBidi"/>
          <w:sz w:val="24"/>
          <w:szCs w:val="24"/>
          <w:rtl/>
        </w:rPr>
        <w:t xml:space="preserve">במרכזו של החלק השני מוצגת השוואה היסטורית המתחקה אחרי צמיחתו של הרומן הערבי ואחרי שלבי התפתחותו מן המאה התשע עשרה ועד היום. בחלק זה עקבתי אחרי התפתחות הרומן הערבי על ציר כרונולוגי. מן החלק עולה, כי חבלי הלידה הראשונים של הרומן הערבי חוזרים אל המאה התשע עשרה וכי לידתו הראשונה של הרומן הערבי הצטמצמה למצרים ולארצות אל-שאם (סוריה הגדולה). מסקנתי בעניין זה היא שהרומן הערבי נכנס אל הספרות הערבית וקנה לו מעמד כז'אנר ספרותי איתן, מוכר ורשמי לפני מלחמת העולם השנייה (1945-1939). נוסף לכך, בחלק זה התחקיתי אחר התמורות שחלו באומנות של הפרוזה הערבית בשנות ה-60 וה-70 של המאה העשרים ועמדתי על הסיבות העומדות מאחורי תמורות אלו. הרומן הערבי צעד בנתיב הכתיבה הניסיונית שתחילתה בשנות ה-60 וה-70 של המאה העשרים. כתגובת נגד לרומן המסורתי ששלט בספרות הערבית עד סוף שנות ה-50, הופיע הרומן שנכתב בהשפעת זרם התודעה בשנות ה-60, שתחילתו ברומן </w:t>
      </w:r>
      <w:r w:rsidRPr="00832663">
        <w:rPr>
          <w:rFonts w:asciiTheme="majorBidi" w:hAnsiTheme="majorBidi" w:cstheme="majorBidi"/>
          <w:b/>
          <w:bCs/>
          <w:sz w:val="24"/>
          <w:szCs w:val="24"/>
          <w:rtl/>
          <w:lang w:bidi="ar-SA"/>
        </w:rPr>
        <w:t xml:space="preserve">اللص والكلاب </w:t>
      </w:r>
      <w:r w:rsidRPr="00832663">
        <w:rPr>
          <w:rFonts w:asciiTheme="majorBidi" w:hAnsiTheme="majorBidi" w:cstheme="majorBidi"/>
          <w:sz w:val="24"/>
          <w:szCs w:val="24"/>
          <w:rtl/>
        </w:rPr>
        <w:t xml:space="preserve">(הגנב והכלבים, 1961) של הסופר המצרי נג'יב מחפוז. חשוב לציין כי מלחמת 1967 נחשבת לאחד הגורמים שהביאו לתמורות בולטות בספרות הערבית, וחלק מן המבקרים רואים במלחמה זו את הסנונית המבשרת את תחילתה של תקופה חדשה בהיסטוריה של הספרות הערבית. בהיבט של התוכן, הרומן הערבי השתנה מן הריאליזם המסורתי לריאליזם החדש והוא הושתת על האירוניה המעמיקה ועל העוקצנות המרה. בחלק השני עמדתי גם על החידושים שחלו באומנות של הפרוזה בשנות ה-80 וה-90 של המאה העשרים והראיתי כיצד היצירתיות של אומנות הרומן בשנים אלה מתאפיינת בנטייה מתמשכת אל פריצת הגבולות. בשונה מכך, לאומנות הרומן של שנות ה-90 במאה </w:t>
      </w:r>
      <w:r w:rsidRPr="00832663">
        <w:rPr>
          <w:rFonts w:asciiTheme="majorBidi" w:hAnsiTheme="majorBidi" w:cstheme="majorBidi"/>
          <w:sz w:val="24"/>
          <w:szCs w:val="24"/>
          <w:rtl/>
        </w:rPr>
        <w:lastRenderedPageBreak/>
        <w:t>העשרים היה אופי משלה, שנוצר בהשפעת ההתפתחות הטכנולוגית, שללא ספק תרמה להתפתחות הרומן בהיבט של הכמות והאיכות. התפתחות זו אפשרה לסופרים לפרסם את יצירות הרומן שלהם באמצעות האתרים האלקטרוניים, מה שמכונה הפרסום האלקטרוני (</w:t>
      </w:r>
      <w:r w:rsidRPr="00832663">
        <w:rPr>
          <w:rFonts w:asciiTheme="majorBidi" w:hAnsiTheme="majorBidi" w:cstheme="majorBidi"/>
          <w:sz w:val="24"/>
          <w:szCs w:val="24"/>
        </w:rPr>
        <w:t>electronic publishing</w:t>
      </w:r>
      <w:r w:rsidRPr="00832663">
        <w:rPr>
          <w:rFonts w:asciiTheme="majorBidi" w:hAnsiTheme="majorBidi" w:cstheme="majorBidi"/>
          <w:sz w:val="24"/>
          <w:szCs w:val="24"/>
          <w:rtl/>
        </w:rPr>
        <w:t>). הכתיבה הניסיונית של הרומן הגיעה לשיאה במאה ה-21 בעקבות התמורות החברתיות, הפוליטיות, התרבותיות והכלכליות שהתרגשו על החברה הערבית. ברמה של התוכן, מתאפיינת התנסות זו בחדשנות ובפרידה מן הנושאים הרווחים, ובמקביל באחיזה בתמורות הרבות של תחומי החיים. כך, התגוונו להם מסלולי הרומן הערבי המודרני וכיווניו. חשוב לציין, כי מספר סופרים ערבים בימינו, הלכו בעקבות זרם ההתנסות, שבישר את החדשנות בספרות. הכתיבה הניסיונית של הסופרים הערבים הניעה אותי לזרות אור על המאפיינים הבולטים של כתיבה זו ברומן הערבי המודרני. קריאת התיגר על השילוש האסור</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נחשבת לאחד המאפיינים של כתיבה זו, אף שנושא הזה אינו מעורר מחלוקת כבעבר. רוצה לומר, שרבים מן הסופרים התייחסו לנושאים חברתיים, דתיים ופוליטיים בהעזה גמורה תוך קריאת תיגר על האיסורים האלה: הדת, המין והפוליטיקה. אוריינטציה זו גררה חרם על פרסום הספרים במקרים רבים. גם ז'אנר הפנטזיה נחשב מן הז'אנרים הבולטים של הכתיבה הניסיונית ברומן הערבי המודרני. חלק מהסופרים הערבים עשו שימוש בפנטזיה לדימיוּן העולם המשתנה והפרדוקסאלית בצורה מדויקת. גם המעקב של השלטונות אחרי הספרות והסופרים, הניעו רבים מן הסופרים להשתמש בפנטזיה כדי להסוות את הרגשות שלהם מחשש מביקורת השלטונות ומחשש מן המתקפה החברתית העלולה לבוא עליהם. הפנטזיה היא כלי בידי הסופרים המאפשרת להם להביע את עצמם במסווים שונים. זאת ועוד: כתיבה של בדיון המדעי (</w:t>
      </w:r>
      <w:r w:rsidRPr="00832663">
        <w:rPr>
          <w:rFonts w:asciiTheme="majorBidi" w:hAnsiTheme="majorBidi" w:cstheme="majorBidi"/>
          <w:sz w:val="24"/>
          <w:szCs w:val="24"/>
        </w:rPr>
        <w:t>science fiction</w:t>
      </w:r>
      <w:r w:rsidRPr="00832663">
        <w:rPr>
          <w:rFonts w:asciiTheme="majorBidi" w:hAnsiTheme="majorBidi" w:cstheme="majorBidi"/>
          <w:sz w:val="24"/>
          <w:szCs w:val="24"/>
          <w:rtl/>
        </w:rPr>
        <w:t>) נחשבת לאחד מסממני ההתנסות בכתיבת הרומן המודרני הניסיוני למרותו הופעתו של הבדיון המדעי במאה העשרים. הסיבה להפיכה של הבדיון המדעי לחלק מהכתיבה הניסיונית המודרנית היא ההגעה של האנושות לפסגת ההתפתחות הטכנולוגית, התפתחות העולה על הישגי התרבות האנושית במאה העשרים.</w:t>
      </w:r>
    </w:p>
    <w:p w:rsidR="00102690" w:rsidRDefault="00102690" w:rsidP="00102690">
      <w:pPr>
        <w:spacing w:line="360" w:lineRule="auto"/>
        <w:jc w:val="both"/>
        <w:rPr>
          <w:rFonts w:asciiTheme="majorBidi" w:hAnsiTheme="majorBidi" w:cstheme="majorBidi"/>
          <w:sz w:val="24"/>
          <w:szCs w:val="24"/>
          <w:rtl/>
        </w:rPr>
      </w:pPr>
      <w:r w:rsidRPr="00832663">
        <w:rPr>
          <w:rFonts w:asciiTheme="majorBidi" w:hAnsiTheme="majorBidi" w:cstheme="majorBidi"/>
          <w:sz w:val="24"/>
          <w:szCs w:val="24"/>
          <w:rtl/>
        </w:rPr>
        <w:t>בחלק השלישי שכותרתו "צמיחת הרומן הערבי הפלסטיני ושלבי התפתחותו" השתדלתי להגדיר את המושג "הספרות הפלסטינית". הגדרת זהות הספרות הפלסטינית לוותה בקשיים מאחר שהסופרים הפלסטינים התפזרו אל מקומות שונים בעקבות מלחמת 1948. מלחמה זו הפרידה את בני העם הפלסטיני ובנותיו מארץ מולדתם, וכתוצאה מכך גרמה להגירתם אל מדינות ואזורים שונים. למעט אלה שנותרו בארץ מולדתם, חלק נדדו לתחום ירדן, חלק למצרים ואחרים חיו בארצות הגירה נוספות. מציאות הפירוד נתנה אותותיה בספרות הפלסטינית. עם זאת, ולמרות קיומם של קשיים מתודולוגיים המסבכים את הניסיון להגדיר את זהות הספרות הפלסטינית, הגעתי להגדרה שלפיה כל מה שכתבו סופרים ממוצא פלסטיני – הוא חלק מהספרות הפלסטינית. על רקע זה חילקתי את הספרות הפלסטינית לשלושה חלקים עיקריים: ספרות ארצות ההגירה, היא הספרות שהתגבשה מחוץ לגבולות המולדת הפלסטינית, או משקרוי דיספורה (</w:t>
      </w:r>
      <w:r w:rsidRPr="00832663">
        <w:rPr>
          <w:rFonts w:asciiTheme="majorBidi" w:hAnsiTheme="majorBidi" w:cstheme="majorBidi"/>
          <w:sz w:val="24"/>
          <w:szCs w:val="24"/>
        </w:rPr>
        <w:t>diaspora</w:t>
      </w:r>
      <w:r w:rsidRPr="00832663">
        <w:rPr>
          <w:rFonts w:asciiTheme="majorBidi" w:hAnsiTheme="majorBidi" w:cstheme="majorBidi"/>
          <w:sz w:val="24"/>
          <w:szCs w:val="24"/>
          <w:rtl/>
        </w:rPr>
        <w:t>); ספרות הגדה המערבית ורצועת עזה – ספרות זו עברה שלושה שלבים: לפני 1948, אחרי 1948 ואחרי 1967 ; היצירה הספרותית של פלסטינים אזרחי ישראל (</w:t>
      </w:r>
      <w:r w:rsidRPr="00832663">
        <w:rPr>
          <w:rFonts w:asciiTheme="majorBidi" w:hAnsiTheme="majorBidi" w:cstheme="majorBidi"/>
          <w:sz w:val="24"/>
          <w:szCs w:val="24"/>
          <w:rtl/>
          <w:lang w:bidi="ar-SA"/>
        </w:rPr>
        <w:t xml:space="preserve">أدب فلسطين الداخل) </w:t>
      </w:r>
      <w:r w:rsidRPr="00832663">
        <w:rPr>
          <w:rFonts w:asciiTheme="majorBidi" w:hAnsiTheme="majorBidi" w:cstheme="majorBidi"/>
          <w:sz w:val="24"/>
          <w:szCs w:val="24"/>
          <w:rtl/>
        </w:rPr>
        <w:t>או ספרות 1948. ספרות זו היא פרי עטם של סופרים פלסטינים שנותרו באדמת מולדתם אחרי שנת 1948, והיא התגבשה בשני שלבים, השלב הראשון לפני 1948 והשלב השני אחרי שנת 1948.</w:t>
      </w:r>
    </w:p>
    <w:p w:rsidR="00102690" w:rsidRDefault="00102690" w:rsidP="00102690">
      <w:pPr>
        <w:spacing w:line="360" w:lineRule="auto"/>
        <w:jc w:val="both"/>
        <w:rPr>
          <w:rFonts w:asciiTheme="majorBidi" w:hAnsiTheme="majorBidi" w:cstheme="majorBidi"/>
          <w:sz w:val="24"/>
          <w:szCs w:val="24"/>
          <w:rtl/>
        </w:rPr>
      </w:pPr>
      <w:r w:rsidRPr="00832663">
        <w:rPr>
          <w:rFonts w:asciiTheme="majorBidi" w:hAnsiTheme="majorBidi" w:cstheme="majorBidi"/>
          <w:sz w:val="24"/>
          <w:szCs w:val="24"/>
          <w:rtl/>
        </w:rPr>
        <w:lastRenderedPageBreak/>
        <w:t xml:space="preserve"> בקריאה אנליטית היסטורית שהצגתי בחלק הזה, עקבתי אחר הצמיחה הכרונולוגית של הרומן הערבי הפלסטיני ושלבי התפתחותו טרם 1948 ועד היום. נמצא, שלידת הרומן הפלסטיני אינה שונה בהרבה מלידת הרומן הערבי. הסיבה לכך נעוצה בתנאים הפוליטיים, החברתיים והתרבותיים הדומים שאפיינו את האזורים הערביים השונים. באשר לראשית הופעת הרומן הערבי הפלסטיני, התגלו עדויות שלפיהן הרומן בראשית דרכו היה פרי עטם של מספר סופרים, דוגמת מוחמד בן אל-שיח' אחמד אל-תמימי (1924-1824) ומיכאל בן ג'רג'ס עורה (1906-1855). עם זאת, רוב החוקרים מסכימים כי הרומן </w:t>
      </w:r>
      <w:r w:rsidRPr="00832663">
        <w:rPr>
          <w:rFonts w:asciiTheme="majorBidi" w:hAnsiTheme="majorBidi" w:cstheme="majorBidi"/>
          <w:b/>
          <w:bCs/>
          <w:sz w:val="24"/>
          <w:szCs w:val="24"/>
          <w:rtl/>
          <w:lang w:bidi="ar-SA"/>
        </w:rPr>
        <w:t>الوارث</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 xml:space="preserve">(היורש, 1920), של הסופר ח'ליל בידס הוא הרומן הפלסטיני הראשון. לפי המחקרים, נמצאו מעט רומנים פלסטינים לפני שנת 1948. רוב הרומנים האלה הצטמצמו בנושאים הקשורים להטפה, להדרכה ולחינוך. כפי שעולה מהחלק השלישי, שנת 1948, הייתה גבול מכריע בין שתי תקופות, נקודת מפנה והתחלת פרק חדש בספרות הפלסטינית. הספרות הפלסטינית ידעה שתי תקופות עיקריות שהשפיעו על התפתחותה, התקופה שלפני מלחמת 1948 והתקופה שאחרי 1948. חמש השנים הראשונות אחרי </w:t>
      </w:r>
      <w:r w:rsidRPr="00832663">
        <w:rPr>
          <w:rFonts w:asciiTheme="majorBidi" w:hAnsiTheme="majorBidi" w:cstheme="majorBidi"/>
          <w:i/>
          <w:iCs/>
          <w:sz w:val="24"/>
          <w:szCs w:val="24"/>
          <w:rtl/>
        </w:rPr>
        <w:t>הנכבּה</w:t>
      </w:r>
      <w:r w:rsidRPr="00832663">
        <w:rPr>
          <w:rFonts w:asciiTheme="majorBidi" w:hAnsiTheme="majorBidi" w:cstheme="majorBidi"/>
          <w:sz w:val="24"/>
          <w:szCs w:val="24"/>
          <w:rtl/>
        </w:rPr>
        <w:t xml:space="preserve"> התאפיינו בהקפאה מוחלטת של היצירה הספרותית. הציר המרכזי בשנים הראשונות אחרי ההקפאה נסב סביב הסוגיה המרכזית, סוגיית המולדת, והוא השתנה בהתאם למחויבות הסופר כלפי הסוגיה המרכזית המעסיקה אותו, או בהתאם לשונוּת הפוליטית והאזורית. עם זאת, אי אפשר לומר שהרומן הפלסטיני בתקופה הזאת הגביל את עצמו לסוגיות הפוליטיות בלבד, כי אם צעד במסלולים שונים וכיוונים מגוונים.התנועה הספרותית הערבית-פלסטינית בישראל הייתה ערנית בשנות ה-50 של המאה העשרים בשל מגוון סיבות. הרומן </w:t>
      </w:r>
      <w:r w:rsidRPr="00832663">
        <w:rPr>
          <w:rFonts w:asciiTheme="majorBidi" w:hAnsiTheme="majorBidi" w:cstheme="majorBidi"/>
          <w:b/>
          <w:bCs/>
          <w:sz w:val="24"/>
          <w:szCs w:val="24"/>
          <w:rtl/>
          <w:lang w:bidi="ar-SA"/>
        </w:rPr>
        <w:t>مذكرات لاجئ أو حيفا في المعركة</w:t>
      </w:r>
      <w:r w:rsidRPr="00832663">
        <w:rPr>
          <w:rFonts w:asciiTheme="majorBidi" w:hAnsiTheme="majorBidi" w:cstheme="majorBidi"/>
          <w:b/>
          <w:bCs/>
          <w:sz w:val="24"/>
          <w:szCs w:val="24"/>
          <w:rtl/>
        </w:rPr>
        <w:t xml:space="preserve"> </w:t>
      </w:r>
      <w:r w:rsidRPr="00832663">
        <w:rPr>
          <w:rFonts w:asciiTheme="majorBidi" w:hAnsiTheme="majorBidi" w:cstheme="majorBidi"/>
          <w:sz w:val="24"/>
          <w:szCs w:val="24"/>
          <w:rtl/>
        </w:rPr>
        <w:t xml:space="preserve">(זיכרונות גולה או חיפה במערכה, 1958) של הסופר תופיק מעַמַר הוא הרומן הערבי-הפלסטיני הראשון שיצא לאור אחרי הקמת מדינת ישראל. חלק מהסופרים בארצות ההגירה המשיכו את יצירותיהם הספרותיות בארצות אלה כגון, הרומן </w:t>
      </w:r>
      <w:r w:rsidRPr="00832663">
        <w:rPr>
          <w:rFonts w:asciiTheme="majorBidi" w:hAnsiTheme="majorBidi" w:cstheme="majorBidi"/>
          <w:b/>
          <w:bCs/>
          <w:sz w:val="24"/>
          <w:szCs w:val="24"/>
          <w:rtl/>
          <w:lang w:bidi="ar-SA"/>
        </w:rPr>
        <w:t>صراخ في ليل طويل</w:t>
      </w:r>
      <w:r w:rsidRPr="00832663">
        <w:rPr>
          <w:rFonts w:asciiTheme="majorBidi" w:hAnsiTheme="majorBidi" w:cstheme="majorBidi"/>
          <w:sz w:val="24"/>
          <w:szCs w:val="24"/>
          <w:rtl/>
        </w:rPr>
        <w:t xml:space="preserve"> (צעקות בלילה ארוך, 1955) של הסופר ג'ברא אבראהים ג'ברא. לעומת זאת, בגדה המערבית וברצועת עזה, הכתיבה של הרומן עד שנות ה-70 של המאה העשרים כמעט ולא הייתה בנמצאת, כפי שעולה מן המחקרים שבנדון. בחלק זה עקבתי גם אחרי התפתחות אומנות הסיפור של הרומן הפלסטיני בשנות ה-60 וה-70 של המאה העשרים. בתקופה זו אצה הדרך לסופרים הפלסטינים משני עבריו של הקו הירוק ובארצות ההגירה, והם הוציאו מתחת ידם יצירות ספרותיות הנמנות עם ז'אנרים שונים וביניהם ז'אנר הרומן. אציין כי למרות החיבור שהייה בין הסופרים משני עבריו של הקו הירוק מאז שנת 1967 – חיבור זה לא הביא לידי מיזוג ביניהם, וכל צד שימר את זהותו.</w:t>
      </w:r>
    </w:p>
    <w:p w:rsidR="00102690" w:rsidRPr="00832663" w:rsidRDefault="00102690" w:rsidP="00102690">
      <w:pPr>
        <w:spacing w:line="360" w:lineRule="auto"/>
        <w:jc w:val="both"/>
        <w:rPr>
          <w:rFonts w:asciiTheme="majorBidi" w:hAnsiTheme="majorBidi" w:cstheme="majorBidi"/>
          <w:sz w:val="24"/>
          <w:szCs w:val="24"/>
          <w:rtl/>
        </w:rPr>
      </w:pPr>
      <w:r w:rsidRPr="00832663">
        <w:rPr>
          <w:rFonts w:asciiTheme="majorBidi" w:hAnsiTheme="majorBidi" w:cstheme="majorBidi"/>
          <w:sz w:val="24"/>
          <w:szCs w:val="24"/>
          <w:rtl/>
        </w:rPr>
        <w:t>לאחר מכן התחקיתי אחרי השינויים והחידושים שחלו באומנות הסיפור של הרומן בשנות ה-80 וה-90 של המאה העשרים. חוקרים מסוימים מציינים ששיעור כתיבת הרומן הפלסטיני בישראל, בשטחים הפלסטיניים ובארצות ההגירה הלך והתגבר בשנים אלה בשל סיבות שונות. בתקופה זו השתחררו הסופרים מן המחויבות לספרות הרשמית והמסורתית והם פנו לעבר ההתנסות והמודרניזם, במיוחד אחרי הפתיחות אל העולם בתקופה שבה הקדמה הטכנולוגית מוטטה את המכשולים בין סופרי העולם. פתיחות זאת הביאה להופעת סופרים פלסטינים רבים העוסקים ברומן בישראל, בשטחים הפלסטיניים ובארצות ההגירה</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 xml:space="preserve">למרות השוני בנושאים של הרומנים בתקופה זו, מרביתם נסב סביב המולדת, בין אם היא הוצגה כסוגיה, כמקום, כזמן </w:t>
      </w:r>
      <w:r w:rsidRPr="00832663">
        <w:rPr>
          <w:rFonts w:asciiTheme="majorBidi" w:hAnsiTheme="majorBidi" w:cstheme="majorBidi"/>
          <w:sz w:val="24"/>
          <w:szCs w:val="24"/>
          <w:rtl/>
        </w:rPr>
        <w:lastRenderedPageBreak/>
        <w:t>או כרקע. בהמשך לכך, התחקיתי אחרי התפתחות הרומן במאה ה-21. מתברר, כי המעיין ברומן הפלסטיני שנכתב משני עבריו של הקו הירוק ובארצות ההגירה  חש עלייה בכמות היצירה של הרומן אחרי שנות האלפיים. תקופה זו מתאפיינת בהופעת רבים מהסופרים הצעירים שיצרו במקומות אלה</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מספר רומנים. רומנים אלה מגוונים בסוגיות ובתכנים שלהם, הם בעלי כיוונים שונים ואפשר לשייך אותם למודרניזם.</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הכיוון הפנטזי נחשב לאחד הכיוונים הבולטים של הרומן הפלסטיני המודרני, וחלק מסופרי הרומנים שבכל מקומותיו של הרומן הפלסטיני, השתמשו מסיבותיהם השונות ובהתאם להדגשים שלהם בז'אנר בפנטזיה</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 xml:space="preserve">גם הבדיון המדעי נחשב לאחד הכיוונים הבולטים ברומן הפלסטיני המודרני למרות מיעוטו של ז'אנר זה ברומן. </w:t>
      </w:r>
    </w:p>
    <w:p w:rsidR="00102690" w:rsidRDefault="00102690" w:rsidP="00102690">
      <w:pPr>
        <w:tabs>
          <w:tab w:val="left" w:pos="3911"/>
        </w:tabs>
        <w:spacing w:line="360" w:lineRule="auto"/>
        <w:ind w:left="-58"/>
        <w:jc w:val="both"/>
        <w:rPr>
          <w:rFonts w:asciiTheme="majorBidi" w:hAnsiTheme="majorBidi" w:cstheme="majorBidi"/>
          <w:sz w:val="24"/>
          <w:szCs w:val="24"/>
          <w:rtl/>
        </w:rPr>
      </w:pPr>
      <w:r w:rsidRPr="00832663">
        <w:rPr>
          <w:rFonts w:asciiTheme="majorBidi" w:hAnsiTheme="majorBidi" w:cstheme="majorBidi"/>
          <w:sz w:val="24"/>
          <w:szCs w:val="24"/>
          <w:rtl/>
        </w:rPr>
        <w:t>הקריאה ההיסטורית המעמיקה שהצעתי בחלק הרביעי מתמקדת בצמיחת הרומן הנשי הערבי ובשלבי התפתחותו מן המאה התשע עשרה ועד היום. מן החלק עולה, כי חבלי הלידה של הרומן הנשי הערבי חוזרים אל המאה התשע עשרה וכי הופעתו הצטמצמה בגבולות מצרים וארצות אל-שאם. אולם, חיש מהר הוא נפוץ בכל מדינות ערב במאה העשרים. הרומן הנשי של המאה התשע עשרה כלל מוטיבים מהזרם הספרותי הפטריארכלי, ולמרות זאת הוא סטה ממנו על יד הכללת תֵמות נשיות. הכתיבה בתקופה זו התאפיינה בשטחיות ובהימנעות מהפרת הנושאים האסורים תוך שמירה על הערכים החברתיים והנוסחאות הביקורתיות והסגנוניות השכיחות. רוב החוקרים מסכימים, כי אופי העצב, הכאב, האיסור והפסימיות וההטפה לשחרור האישה ולחינוכה הם הנושאים שאפיינו את הספרות הנשית בתקופה זו. עוד מוסכם, שספרות זו נטתה להבליט את מעמד האישה ונוסף על כך היא הגזימה בהעתקות מן הספרות האירופאית.</w:t>
      </w:r>
    </w:p>
    <w:p w:rsidR="00102690" w:rsidRDefault="00102690" w:rsidP="00102690">
      <w:pPr>
        <w:tabs>
          <w:tab w:val="left" w:pos="3911"/>
        </w:tabs>
        <w:spacing w:line="360" w:lineRule="auto"/>
        <w:ind w:left="-58"/>
        <w:jc w:val="both"/>
        <w:rPr>
          <w:rFonts w:asciiTheme="majorBidi" w:hAnsiTheme="majorBidi" w:cstheme="majorBidi"/>
          <w:sz w:val="24"/>
          <w:szCs w:val="24"/>
          <w:rtl/>
        </w:rPr>
      </w:pPr>
      <w:r w:rsidRPr="00832663">
        <w:rPr>
          <w:rFonts w:asciiTheme="majorBidi" w:hAnsiTheme="majorBidi" w:cstheme="majorBidi"/>
          <w:sz w:val="24"/>
          <w:szCs w:val="24"/>
          <w:rtl/>
        </w:rPr>
        <w:t>בחלק זה עסקתי גם במצעד הכתיבה של הרומן הנשי הערבי. מאז ראשית המאה העשרים באו והופיעו בזה אחר זה רומנים ערביים נשיים במדינות ערביות שונות, אלא שרומנים אלה הופיעו בקצב יחסית איטי בהשוואה להופעת הרומנים במצרים ובלבנון.</w:t>
      </w:r>
      <w:r w:rsidRPr="00832663">
        <w:rPr>
          <w:rFonts w:asciiTheme="majorBidi" w:hAnsiTheme="majorBidi" w:cstheme="majorBidi"/>
          <w:sz w:val="24"/>
          <w:szCs w:val="24"/>
          <w:rtl/>
          <w:lang w:bidi="ar-JO"/>
        </w:rPr>
        <w:t xml:space="preserve"> </w:t>
      </w:r>
      <w:r w:rsidRPr="00832663">
        <w:rPr>
          <w:rFonts w:asciiTheme="majorBidi" w:hAnsiTheme="majorBidi" w:cstheme="majorBidi"/>
          <w:sz w:val="24"/>
          <w:szCs w:val="24"/>
          <w:rtl/>
        </w:rPr>
        <w:t>הכתיבה הנשית נסבה סביב הסוגיה של האישה והתאפיינה בהשלטתו של הצביון הרומנטי הפסימי על יצירות הסופרות הערביות. חלק זה דן גם בתמורות ובשינויים שחלו באומנות הסיפורת הנשית הערבית באופן כללי. כתוצאה משינויים חברתיים, כלכליים, תרבותיים ופוליטיים שהתרגשו על העולם הערבי בשנות הארבעים של המאה העשרים חלו תמורות בז'אנר זה  בהיבט של התוכן ובהיבט של הסגנון. בהיבט של התוכן, הסוגיות של האישה נותרו בראש מעיינה של הכתיבה הנשית. עם זאת, שנות ה-50 נחשבים נקודת מפנה בספרות הנשית הערבית. הנה כי כן, באמצע שנים אלה חלק מהכותבות התמרדו על הנוהגים הספרותיים שהיו שולטים והן סללו דרכן באמצעות שיח נשי שונה מן השיח הפטריארכלי. באשר לשינויים והחידושים שחלו באומנות הסיפורת של שנות השישים והשבעים של המאה העשרים, מצאתי כי בשנים אלו בשל גורמים ושינויים פוליטיים, תרבותיים, כלכליים וחברתיים הסתמנה התפתחות גדולה באומנות הסיפורת הערבית הכללית ובספרות הנשית בפרט. שנות ה-70 של המאה העשרים נחשבים תקופת הפריחה ביצירת הרומן הנשי הערבי. באשר לתֵימות, ניכר שהסופרת הערבייה הייתה מודעת לסוגיית המולדת שהתהוותה אחר שנת 1967. בעקבות 1967 הסופרות הפמיניסטיות נעשו בשלות יותר מבחינה פוליטית. נושא התבוסה שלט על הספרות הנשית, והדמויות נעשו מודעות יותר לסוגיה הפוליטית ומחויבות אליה</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 xml:space="preserve">עם זאת, הסופרת הערבייה בתקופה הזאת לא הפנתה עורף לסוגיות הנשיות </w:t>
      </w:r>
      <w:r w:rsidRPr="00832663">
        <w:rPr>
          <w:rFonts w:asciiTheme="majorBidi" w:hAnsiTheme="majorBidi" w:cstheme="majorBidi"/>
          <w:sz w:val="24"/>
          <w:szCs w:val="24"/>
          <w:rtl/>
        </w:rPr>
        <w:lastRenderedPageBreak/>
        <w:t>ולמעמד החברתי של האישה, והפעילות הנשית הגיעה לשיאה בשנות ה-80 של המאה העשרים; שנים הממשיכות את הפעילות הנשית מהתקופות הקודמות.</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שנות ה-80 התאפיינו בכתיבה מהפכנית של הסופרת הערבייה, שצירוף של כמה גורמים הניע אותה לצאת חוצץ נגד הנוהגים הספרותיים הרווחים ולסטות מן הקונבנציה. המהפכה התקדמה במהלך הזמן ועמה התעוזה של הסופרת הערבייה, שהתנגדה לכל הנוהגים הספרותיים הפטריארכליים ויצרה ספרות נשית ייחודית לאישה. חלק מהמחקרים מציינים שהסיפורת הנשית הגיעה לכלל גיבוש בשנות ה-90 של המאה העשרים.</w:t>
      </w:r>
    </w:p>
    <w:p w:rsidR="00102690" w:rsidRPr="00832663" w:rsidRDefault="00102690" w:rsidP="00102690">
      <w:pPr>
        <w:tabs>
          <w:tab w:val="left" w:pos="3911"/>
        </w:tabs>
        <w:spacing w:line="360" w:lineRule="auto"/>
        <w:ind w:left="-58"/>
        <w:jc w:val="both"/>
        <w:rPr>
          <w:rFonts w:asciiTheme="majorBidi" w:hAnsiTheme="majorBidi" w:cstheme="majorBidi"/>
          <w:sz w:val="24"/>
          <w:szCs w:val="24"/>
          <w:rtl/>
        </w:rPr>
      </w:pPr>
      <w:r w:rsidRPr="00832663">
        <w:rPr>
          <w:rFonts w:asciiTheme="majorBidi" w:hAnsiTheme="majorBidi" w:cstheme="majorBidi"/>
          <w:sz w:val="24"/>
          <w:szCs w:val="24"/>
          <w:rtl/>
        </w:rPr>
        <w:t>בחלק זה הסבתי גם את תשומת הלב לכתיבה הנשית הערבית של הרומן במאה ה-21, והראיתי שהכתיבה של האישה הערבייה המודרנית, היא כתיבה ניסיונית, חדישה ומפלסת דרך, משום שהיא ממוטטת את הקונבנציות הספרותיות המקובלות וחותרת תחתן. אף שהניסיון לכתוב רומן הוא מסממניה הבולטים של הספרות הערבית המודרנית, הוא הפך לאחד הסממנים הבולטים של הספרות הנשית המודרנית. זאת משום, שהסופרת הערבייה ניסתה באמצעות הכתיבה שלה לעשות הזרה לטקסט באמצעים ספרתיים-סגנוניים שונים – תחבולה שגרמה לסיבוך הטקסט ולערפולו במקרים רבים. המעיין ברומן הנשי הערבי בימינו חש שהסופרת הערבייה לא פסחה על אף אחת מתחומי החיים בכתיבתה. כתוצאה מכך, התגוונו כיווני הרומן הנשי המודרני, כאשר הפנטזיה היא אחד הגוונים השולטים בכיפה בכתיבה הנשית הניסיונית של הרומן</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בספרות המודרנית.</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הפנטזיה הפכה לאחד הסממנים הבולטים של הספרות הנשית המודרנית בשל השימוש האינטנסיבי באמצעי ספרותי זה. אפשר שהשימוש האינטנסיבי של הסופרת הערבייה באמצעי זה נובע מכמה סיבות: הרצון שלה להסוות את רגשותיה הכנים, החשש שלה מנחת זרועו של השלטון והפחד ממתקפה חברתית. השימוש בפנטזיה מאפשר להתגבר על המכשולים החוץ- ספרותיים, כי היא רב-פרשנית.</w:t>
      </w:r>
    </w:p>
    <w:p w:rsidR="00102690" w:rsidRPr="00832663" w:rsidRDefault="00102690" w:rsidP="00102690">
      <w:pPr>
        <w:tabs>
          <w:tab w:val="left" w:pos="3911"/>
        </w:tabs>
        <w:spacing w:line="360" w:lineRule="auto"/>
        <w:ind w:left="-58"/>
        <w:jc w:val="both"/>
        <w:rPr>
          <w:rFonts w:asciiTheme="majorBidi" w:hAnsiTheme="majorBidi" w:cstheme="majorBidi"/>
          <w:sz w:val="24"/>
          <w:szCs w:val="24"/>
          <w:rtl/>
        </w:rPr>
      </w:pPr>
      <w:r w:rsidRPr="00832663">
        <w:rPr>
          <w:rFonts w:asciiTheme="majorBidi" w:hAnsiTheme="majorBidi" w:cstheme="majorBidi"/>
          <w:sz w:val="24"/>
          <w:szCs w:val="24"/>
          <w:rtl/>
        </w:rPr>
        <w:t xml:space="preserve">בקריאה ההיסטורית שהבאתי בחלק החמישי התחקיתי אחרי צמיחת הרומן הנשי הפלסטיני ושלבי התפתחותו. התברר, שצמיחת הרומן הנשי הפלסטיני אינה שונה מצמיחתו של הרומן הערבי. הסיבות לכך הן התנאים הפוליטיים, החברתיים והתרבותיים הדומים שאפיינו את המרחב הערבי. כן, מצאתי שראשית חבלי הלידה הראשונים של הרומן הפלסטיני חוזרים לשנות ה-50. לפי מספר חוקרים, הסופרת הודא חנה, שהוציאה מתחת ידה את הרומן </w:t>
      </w:r>
      <w:r w:rsidRPr="00832663">
        <w:rPr>
          <w:rFonts w:asciiTheme="majorBidi" w:hAnsiTheme="majorBidi" w:cstheme="majorBidi"/>
          <w:b/>
          <w:bCs/>
          <w:sz w:val="24"/>
          <w:szCs w:val="24"/>
          <w:rtl/>
          <w:lang w:bidi="ar-JO"/>
        </w:rPr>
        <w:t>صوت الملاجئ</w:t>
      </w:r>
      <w:r w:rsidRPr="00832663">
        <w:rPr>
          <w:rFonts w:asciiTheme="majorBidi" w:hAnsiTheme="majorBidi" w:cstheme="majorBidi"/>
          <w:b/>
          <w:bCs/>
          <w:sz w:val="24"/>
          <w:szCs w:val="24"/>
          <w:rtl/>
        </w:rPr>
        <w:t xml:space="preserve"> </w:t>
      </w:r>
      <w:r w:rsidRPr="00832663">
        <w:rPr>
          <w:rFonts w:asciiTheme="majorBidi" w:hAnsiTheme="majorBidi" w:cstheme="majorBidi"/>
          <w:sz w:val="24"/>
          <w:szCs w:val="24"/>
          <w:rtl/>
        </w:rPr>
        <w:t xml:space="preserve">(קולות המקלטים) בשנות ה-50 של המאה העשרים, והסופרת מרים משעל, שהוציאה מתחת ידה את הרומן </w:t>
      </w:r>
      <w:r w:rsidRPr="00832663">
        <w:rPr>
          <w:rFonts w:asciiTheme="majorBidi" w:hAnsiTheme="majorBidi" w:cstheme="majorBidi"/>
          <w:b/>
          <w:bCs/>
          <w:sz w:val="24"/>
          <w:szCs w:val="24"/>
          <w:rtl/>
          <w:lang w:bidi="ar-JO"/>
        </w:rPr>
        <w:t>فتاة النكبة</w:t>
      </w:r>
      <w:r w:rsidRPr="00832663">
        <w:rPr>
          <w:rFonts w:asciiTheme="majorBidi" w:hAnsiTheme="majorBidi" w:cstheme="majorBidi"/>
          <w:sz w:val="24"/>
          <w:szCs w:val="24"/>
          <w:rtl/>
        </w:rPr>
        <w:t xml:space="preserve"> (בחורת הנכבה, 1957) – סופרות אלה נחשבות לחלוצות הרומן הערבי-הפלסטיני. בחלק זה הצגתי גם את ההתפתחויות והתמורות שחלו ברומן הנשי הפלסטיני בשנות ה-60 וה-70 של המאה העשרים. ראוי לציין, כי לא התקיימה פעילות נשית פלסטינית של כתיבת רומן בישראל ובגדה עד שנות ה-70 של המאה העשרים. אולם, המצב בארצות ההגירה היה שונה; ניסיונה של הסופרת סמירה עזאם לכתוב רומן, שכותרתו</w:t>
      </w:r>
      <w:r w:rsidRPr="00832663">
        <w:rPr>
          <w:rFonts w:asciiTheme="majorBidi" w:hAnsiTheme="majorBidi" w:cstheme="majorBidi"/>
          <w:sz w:val="24"/>
          <w:szCs w:val="24"/>
          <w:rtl/>
          <w:lang w:bidi="ar-SA"/>
        </w:rPr>
        <w:t xml:space="preserve"> </w:t>
      </w:r>
      <w:r w:rsidRPr="00832663">
        <w:rPr>
          <w:rFonts w:asciiTheme="majorBidi" w:hAnsiTheme="majorBidi" w:cstheme="majorBidi"/>
          <w:b/>
          <w:bCs/>
          <w:sz w:val="24"/>
          <w:szCs w:val="24"/>
          <w:rtl/>
          <w:lang w:bidi="ar-SA"/>
        </w:rPr>
        <w:t>سيناء بلا حدود</w:t>
      </w:r>
      <w:r w:rsidRPr="00832663">
        <w:rPr>
          <w:rFonts w:asciiTheme="majorBidi" w:hAnsiTheme="majorBidi" w:cstheme="majorBidi"/>
          <w:sz w:val="24"/>
          <w:szCs w:val="24"/>
          <w:rtl/>
        </w:rPr>
        <w:t xml:space="preserve"> (סיני ללא גבולות, 1964) נחשב לניסיון הנשי הפלסטיני הראשון בשנות ה-60 של המאה העשרים, לפי דעת החוקרים. הרומן הנשי הפלסטיני התפתח אחרי 1967, והופעתו הלכה והתגברה במדינות השונות, במיוחד בארצות ההגירה. מכלל הרומנים שהופיעו בגולה נזכיר את </w:t>
      </w:r>
      <w:r w:rsidRPr="00832663">
        <w:rPr>
          <w:rFonts w:asciiTheme="majorBidi" w:hAnsiTheme="majorBidi" w:cstheme="majorBidi"/>
          <w:b/>
          <w:bCs/>
          <w:sz w:val="24"/>
          <w:szCs w:val="24"/>
          <w:rtl/>
          <w:lang w:bidi="ar-SA"/>
        </w:rPr>
        <w:t>إلى اللقاء في يافا</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(להתראות ביפו, 1970 )</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של הסופרת היאם רמזי אל-דנדרג'י</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 xml:space="preserve">באשר לרומן הנשי בגדה המערבית, הסופרת סחר ח'ליפה (1941-), נחשבת לחלוצה בתחום זה. הרומן הראשון של ח'ליפה הוא  </w:t>
      </w:r>
      <w:r w:rsidRPr="00832663">
        <w:rPr>
          <w:rFonts w:asciiTheme="majorBidi" w:hAnsiTheme="majorBidi" w:cstheme="majorBidi"/>
          <w:b/>
          <w:bCs/>
          <w:sz w:val="24"/>
          <w:szCs w:val="24"/>
          <w:rtl/>
          <w:lang w:bidi="ar-SA"/>
        </w:rPr>
        <w:t>لم نعد جواري لكم</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 xml:space="preserve">איננו עוד שפחות שלכם, 1974). בכל הנוגע לרומן הנשי </w:t>
      </w:r>
      <w:r w:rsidRPr="00832663">
        <w:rPr>
          <w:rFonts w:asciiTheme="majorBidi" w:hAnsiTheme="majorBidi" w:cstheme="majorBidi"/>
          <w:sz w:val="24"/>
          <w:szCs w:val="24"/>
          <w:rtl/>
        </w:rPr>
        <w:lastRenderedPageBreak/>
        <w:t xml:space="preserve">הפלסטיני בישראל, פאטמה דיאב (1951-) נחשבת לחלוצה בתחום. הרומן הראשון שלה הוא </w:t>
      </w:r>
      <w:r w:rsidRPr="00832663">
        <w:rPr>
          <w:rFonts w:asciiTheme="majorBidi" w:hAnsiTheme="majorBidi" w:cstheme="majorBidi"/>
          <w:b/>
          <w:bCs/>
          <w:sz w:val="24"/>
          <w:szCs w:val="24"/>
          <w:rtl/>
          <w:lang w:bidi="ar-SA"/>
        </w:rPr>
        <w:t>رحلة في قطار الماضي</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(מסע בקטר של העבר, 1973).</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המצב שונה ברצועת עזה, מפני שלא יצא לאור אף רומן עד שנות ה-70.</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 xml:space="preserve">בקשר להתפתחות אומנות הרומן הנשי הפלסטיני בשנות ה-80 וה-90 של המאה העשרים, הפעילות הנשית של הסופרת הפלסטינית, במיוחד בתחום האומנות של הסיפורת, הגיעה לשיאה בשנות ה-80 וה-90 של המאה העשרים. חלק מן המחקרים מצביעים על קפיצה איכותית בספרות הנשית הפלסטינית. לפי מחקרים אלה הסיפורת הנשית הפלסטינית לא הגיעה לכדי גיבוש עד שנות ה-90 של המאה העשרים. ראוי לציין, כי בתקופה זו חלו כמה שינויים בתכנים של הרומן הנשי הפלסטיני ובסוגיות שהעסיקו אותו. חלק מהסופרות נטשו את העיסוק בנושאים הפוליטיים והלאומיים, ובמקביל הן שמו את הדגש על סוגיות ותכנים נשיים. בחלק החמישי הפניתי את המבט גם אל הרומן הפלסטיני במאה ה-21 והראיתי כיצד הוא ידע עדנה הן מבחינת האיכות והן מבחינת הכמות שלו. בכל הנוגע לתֵימות הנפוצות ברומן הנשי הפלסטיני, המעיין ברומן מרגיש שהסופרת הפלסטינית נתנה את דעתה על כל תחומי החיים וטיפלה בהם. כתוצאה מכך, התגוונו מסלולי הרומן הנשי הפלסטיני וכיווניו. מכלל התחומים האלה בולטת לעין הבקעת האיסור המשולש: הדת, הפוליטיקה והמין. חלק מן הסופרות התייחסו לנושאים מסוימים בעזות גמורה והסירו מעליהן את כל הכבלים. בעקבות כך, חל איסור על פרסום רבים מן היצירות הנשיות הפלסטיניות במדינות ערב השונות. חלק מיוצרות אלו עשו שימוש ביסודות הפנטזיה, וחלקן הקטן עשה שימוש בבדיון המדעי בכתיבה של הרומן.  </w:t>
      </w:r>
    </w:p>
    <w:p w:rsidR="00102690" w:rsidRPr="00832663" w:rsidRDefault="00102690" w:rsidP="00102690">
      <w:pPr>
        <w:spacing w:line="360" w:lineRule="auto"/>
        <w:jc w:val="both"/>
        <w:rPr>
          <w:rFonts w:asciiTheme="majorBidi" w:hAnsiTheme="majorBidi" w:cstheme="majorBidi"/>
          <w:sz w:val="24"/>
          <w:szCs w:val="24"/>
          <w:rtl/>
        </w:rPr>
      </w:pPr>
      <w:r w:rsidRPr="00832663">
        <w:rPr>
          <w:rFonts w:asciiTheme="majorBidi" w:hAnsiTheme="majorBidi" w:cstheme="majorBidi"/>
          <w:sz w:val="24"/>
          <w:szCs w:val="24"/>
          <w:rtl/>
        </w:rPr>
        <w:t>בפרק השני שנשא את הכותרת, "התגבשות טכניקות הרומן הערבי המודרני", עיינתי בסגנון ובטכניקות האומנותיות השונות ברומן הערבי המודרני. נמצא, שמהפכת הסיפור הערבי המודרני לא נעצרה בשלבים האחרונים של התפתחותו בתחום התכנים, אלא שהתפתחות זו נגעה ברובד של הסגנון וברובד של הטכניקות האומנותיות, ובתוך כך הבקיעה את התבניות הסיפוריות המסורתיות וסטתה מהטכניקות של הרומן המסורתי. בהקשר של הסגנון, נעשה שימוש בחלק מהטכניקות המודרניות, ובחלק אחר נעשה שימוש בטכניקות השאובות מן הפוסטמודרניזם ומן הפוסט-מודרניות (</w:t>
      </w:r>
      <w:r w:rsidRPr="00832663">
        <w:rPr>
          <w:rFonts w:asciiTheme="majorBidi" w:hAnsiTheme="majorBidi" w:cstheme="majorBidi"/>
          <w:sz w:val="24"/>
          <w:szCs w:val="24"/>
        </w:rPr>
        <w:t>postmodernity and postmodernism</w:t>
      </w:r>
      <w:r w:rsidRPr="00832663">
        <w:rPr>
          <w:rFonts w:asciiTheme="majorBidi" w:hAnsiTheme="majorBidi" w:cstheme="majorBidi"/>
          <w:sz w:val="24"/>
          <w:szCs w:val="24"/>
          <w:rtl/>
        </w:rPr>
        <w:t xml:space="preserve">). פרק זה כולל כמה חלקים, בחלק הראשון הצגנו את יסודות העלילה ברומן הערבי המודרני. בחלק השני הפניתי את המבט אל עבר הדיאלוג הפנימי והדיאלוג החיצוני באומנות הרומן הערבי. בחלק השלישי טיפלתי באינטר-טקסטואליות לגווניה ולצורותיה. בחלק הרביעי התייחסתי לרבדים הלשוניים ברומן הערבי המודרני. עניינו של החלק החמישי הוא נקודות הממשק בין הרומן הערבי ובין הז'אנרים הספרותיים האחרים. בחלק השישי בחנתי את הטכניקות הצורניות ברומן. </w:t>
      </w:r>
    </w:p>
    <w:p w:rsidR="00102690" w:rsidRPr="00832663" w:rsidRDefault="00102690" w:rsidP="00102690">
      <w:pPr>
        <w:spacing w:line="360" w:lineRule="auto"/>
        <w:jc w:val="both"/>
        <w:rPr>
          <w:rFonts w:asciiTheme="majorBidi" w:hAnsiTheme="majorBidi" w:cstheme="majorBidi"/>
          <w:sz w:val="24"/>
          <w:szCs w:val="24"/>
          <w:rtl/>
        </w:rPr>
      </w:pPr>
      <w:r w:rsidRPr="00832663">
        <w:rPr>
          <w:rFonts w:asciiTheme="majorBidi" w:hAnsiTheme="majorBidi" w:cstheme="majorBidi"/>
          <w:sz w:val="24"/>
          <w:szCs w:val="24"/>
          <w:rtl/>
        </w:rPr>
        <w:t xml:space="preserve">הפרק השלישי, שכותרתו "טכניקות הרומן הנשי הערבי המודרני", כולל כמה חלקים. בחלק הראשון הראיתי כי הטכניקות והסגנונות בספרות הנשית אינם בלעדיים לספרות הנשית, וכי הם היו ועודם משמשים בספרות הערבית הרשמית, כלומר הספרות פרי עטם של סופרים ערבים גברים. אולם, מה שהפך טכניקות אלו ייחודיות לספרות הנשית, הוא השימוש האינטנסיבי בטכניקות אלו בספרות הנשית והיכולת של הסופרות להפוך את הטכניקות האלו לאמצעים נגד הספרות הגברית והמסורתית. במסגרת הדיון שלי בטכניקות ובסגנונות הסיפורת הנשית המודרנית, חשפתי את התעוזה של הסופרת הערבייה להתנסות </w:t>
      </w:r>
      <w:r w:rsidRPr="00832663">
        <w:rPr>
          <w:rFonts w:asciiTheme="majorBidi" w:hAnsiTheme="majorBidi" w:cstheme="majorBidi"/>
          <w:sz w:val="24"/>
          <w:szCs w:val="24"/>
          <w:rtl/>
        </w:rPr>
        <w:lastRenderedPageBreak/>
        <w:t>בסגנונות המסייעים לה להגשים את מטרותיה. בחלק השני הצגתי את התגלמות יסודות העלילה הסיפורית בטקסט של הרומן הנשי הערבי. החלק השלישי</w:t>
      </w:r>
      <w:r w:rsidRPr="00832663">
        <w:rPr>
          <w:rFonts w:asciiTheme="majorBidi" w:hAnsiTheme="majorBidi" w:cstheme="majorBidi"/>
          <w:sz w:val="24"/>
          <w:szCs w:val="24"/>
          <w:rtl/>
          <w:lang w:bidi="ar-JO"/>
        </w:rPr>
        <w:t xml:space="preserve"> </w:t>
      </w:r>
      <w:r w:rsidRPr="00832663">
        <w:rPr>
          <w:rFonts w:asciiTheme="majorBidi" w:hAnsiTheme="majorBidi" w:cstheme="majorBidi"/>
          <w:sz w:val="24"/>
          <w:szCs w:val="24"/>
          <w:rtl/>
        </w:rPr>
        <w:t xml:space="preserve">עוסק במשלבים הלשוניים ובתבניות הלשוניות של הרומן הנשי הערבי. בחלק הרביעי עמדתי על התגלמות הייחודיות האמנותית של טכניקת האינטרטקסטואליות לגווניה ולסוגיה השונים בטקסטים הנשיים של הרומן הערבי. בחלק החמישי טופלו הטכניקות האומנותיות הצורניות בסיפורת הנשית הערבית בעת המודרנית. עניינו של החלק השישי הוא התחקות אחר צורות השילוב  בין הז'אנרים הספרותיים ברומן הנשי הערבי. </w:t>
      </w:r>
    </w:p>
    <w:p w:rsidR="00102690" w:rsidRPr="00832663" w:rsidRDefault="00102690" w:rsidP="00102690">
      <w:pPr>
        <w:spacing w:line="360" w:lineRule="auto"/>
        <w:jc w:val="both"/>
        <w:rPr>
          <w:rFonts w:asciiTheme="majorBidi" w:hAnsiTheme="majorBidi" w:cstheme="majorBidi"/>
          <w:sz w:val="24"/>
          <w:szCs w:val="24"/>
          <w:rtl/>
        </w:rPr>
      </w:pPr>
      <w:r w:rsidRPr="00832663">
        <w:rPr>
          <w:rFonts w:asciiTheme="majorBidi" w:hAnsiTheme="majorBidi" w:cstheme="majorBidi"/>
          <w:sz w:val="24"/>
          <w:szCs w:val="24"/>
          <w:rtl/>
        </w:rPr>
        <w:t>הפרק הרביעי, שכותרתו "התכנים של הרומן הנשי הפלסטיני משני עברי הקו הירוק ובארצות ההגירה" הוא פרק יישומי, הכולל ארבעה חלקים. בחלק הראשון הבאתי סקירה קצרה על הנוסחאות של הסיפּר</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ברומן הנשי הפלסטיני המודרני, עמדתי על ההבדל בין הסיפור האובייקטיבי ובין הסיפור האישי והראיתי שרוב הסיפורים האלה נעים על שני צירים, הציר הפוליטי והציר החברתי. נושא החלק השני הוא מעקב אחר התכנים והכיוונים ברומן הנשי הפלסטיני במאה ה-21. ברומן הנשי הפלסטיני המודרני, שנכתב באזורים הנמצאים משני עבריו של הקו הירוק ובארצות ההגירה, בולט הגיוון בתכנים. גיוון זה הוא תוצאה של התנאים ששררו באזורים אלה</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חשוב לציין, כי רוב הנושאים והסוגיות המובאים ברומנים אלה נעים על שני צירים, האישה והמולדת. הן האישה הן המולדת נדונו בשלל הקשרים: ההקשר חברתי-פוליטי, ההקשר פוליטי, ההקשר חברתי וההקשר הביוגרפי. מן התכנים של הרומן עולה כי הוא שואף להגשים את רעיון המרכזיות של הזהות הנשית, הנחשבת למוקד הכתיבה הנשית המודרנית. בשונה מכך, החלק השלישי עסק בטיפוסי הדמויות ברומן הנשי הפלסטיני המודרני. רוב הטיפוסים האלה נסבו סביב שני צירים: הציר החברתי והציר הפוליטי. למרות הימצאותם של טיפוסים רבים ברומן הנשי הפלסטיני, ראיתי לנכון להתמקד בארבעה טיפוסים עיקריים בשל מרכזיותם ביצירות של הסופרות הפלסטיניות.</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 xml:space="preserve">הטיפוס הראשון הוא האישה הנאבקת; טיפוס האישה המדוכאת; טיפוס האישה המשכילה וטיפוס היהודייה. בחלק הרביעי גיליתי את התעוזה  של הסופרת הפלסטינית בחשיפת נושאים חברתיים, דתיים ופוליטיים, תוך כדי הבקעת השילוש האסור. ראוי לציין, שהבקעת השילוש האסור היא ממאפייניה של הספרות הערבית הרשמית המודרנית. עם זאת, הנושא הזה הפך לסממן בולט של הספרות הנשית הערבית בימינו בשל ההרואיות הגמורה של שבירת האיסורים ובשל השימוש האינטנסיבי בהם.     </w:t>
      </w:r>
    </w:p>
    <w:p w:rsidR="00102690" w:rsidRDefault="00102690" w:rsidP="00102690">
      <w:pPr>
        <w:spacing w:line="360" w:lineRule="auto"/>
        <w:jc w:val="both"/>
        <w:rPr>
          <w:rFonts w:asciiTheme="majorBidi" w:hAnsiTheme="majorBidi" w:cstheme="majorBidi"/>
          <w:sz w:val="24"/>
          <w:szCs w:val="24"/>
          <w:rtl/>
          <w:lang w:bidi="ar-SA"/>
        </w:rPr>
      </w:pPr>
      <w:r w:rsidRPr="00832663">
        <w:rPr>
          <w:rFonts w:asciiTheme="majorBidi" w:hAnsiTheme="majorBidi" w:cstheme="majorBidi"/>
          <w:sz w:val="24"/>
          <w:szCs w:val="24"/>
          <w:rtl/>
        </w:rPr>
        <w:t>הפרק החמישי, שכותרתו "טכניקות הרומן הנשי הפלסטיני" גם הוא פרק יישומי</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 xml:space="preserve">בפרק זה עמדנו על הטכניקות והסגנונות הבולטים ברומן הנשי הפלסטיני. מן הפרק עולה, כי מהפכת התפתחות הכתיבה של הרומן הערבי המודרני לא נעצרה בתחום התכנים, אלא שמהלך זה נגע ברובד של הסגנון וברובד של הטכניקות האומנותיות. במסגרת הדיון שלנו בטכניקות הסיפורת הנשית הפלסטינית בחלק הראשון בפרק זה, הסברתי כי הסופרות הפלסטיניות הבקיעו את הצורות והתבניות הסיפוריות המסורתיות בשני אופנים: האופן הראשון קשור לשימוש האינטנסיבי בטכניקות ובסגנונות האמנותיים, חלקם חדש וחלקם נמנה עם האמצעים הפוסט-מודרניים; האופן השני, מתבסס על הפיכת הטכניקות האומנותיות לאמצעים שבעזרתם הכותבות מגשימות את רעיון מרכזיוּת הזהות הנשית, הנחשבת למוקד הכתיבה הנשית המודרנית. כמו כן, שימשו האמצעים האלה את הסופרות להבלטת סוגיית הדבקות במולדת, סוגיה מרכזית ועקרונית בספרות </w:t>
      </w:r>
      <w:r w:rsidRPr="00832663">
        <w:rPr>
          <w:rFonts w:asciiTheme="majorBidi" w:hAnsiTheme="majorBidi" w:cstheme="majorBidi"/>
          <w:sz w:val="24"/>
          <w:szCs w:val="24"/>
          <w:rtl/>
        </w:rPr>
        <w:lastRenderedPageBreak/>
        <w:t>הפלסטינית. מסקנתי היא כי על אף נקודות החפיפה הרבות בין הרומן הנשי הפלסטיני ובין הרומן הנשי הערבי בהיבטים של הטכניקות ושל הסגנונות האמנותיים – הרומן הפלסטיני התבלט בהיבטים מסוימים משלו בתחום הסגנון והאומנות, במיוחד ההיבטים הקשורים בזמן ובמקום. בשל הייחודיות של הזמן ברומן הנשי הפלסטיני, ראיתי לנכון להתייחס אליו בחלק השני. נמצא שהתפתחות התודעה של הפלסטיני בשלבים מוקדמים יחסית, היא שהבליטה את יסוד הזמן ברומנים הפלסטיניים</w:t>
      </w:r>
      <w:r w:rsidRPr="00832663">
        <w:rPr>
          <w:rFonts w:asciiTheme="majorBidi" w:hAnsiTheme="majorBidi" w:cstheme="majorBidi"/>
          <w:sz w:val="24"/>
          <w:szCs w:val="24"/>
          <w:rtl/>
          <w:lang w:bidi="ar-SA"/>
        </w:rPr>
        <w:t>.</w:t>
      </w:r>
      <w:r w:rsidRPr="00832663">
        <w:rPr>
          <w:rFonts w:asciiTheme="majorBidi" w:hAnsiTheme="majorBidi" w:cstheme="majorBidi"/>
          <w:sz w:val="24"/>
          <w:szCs w:val="24"/>
          <w:lang w:bidi="ar-SA"/>
        </w:rPr>
        <w:t xml:space="preserve"> </w:t>
      </w:r>
      <w:r w:rsidRPr="00832663">
        <w:rPr>
          <w:rFonts w:asciiTheme="majorBidi" w:hAnsiTheme="majorBidi" w:cstheme="majorBidi"/>
          <w:sz w:val="24"/>
          <w:szCs w:val="24"/>
          <w:rtl/>
        </w:rPr>
        <w:t xml:space="preserve">כן, הגענו למסקנה שהסופרות הפלסטיניות משני עבריו של הקו הירוק ובארצות ההגירה, הסתייעו בצורות שונות של הזמן, הנובעות משני סוגים מרכזיים: הפנימי והחיצוני. יש לציין, שטכניקת ההבזק </w:t>
      </w:r>
      <w:r w:rsidRPr="00832663">
        <w:rPr>
          <w:rFonts w:asciiTheme="majorBidi" w:hAnsiTheme="majorBidi" w:cstheme="majorBidi"/>
          <w:sz w:val="24"/>
          <w:szCs w:val="24"/>
          <w:rtl/>
          <w:lang w:bidi="ar-SA"/>
        </w:rPr>
        <w:t>(</w:t>
      </w:r>
      <w:r w:rsidRPr="00832663">
        <w:rPr>
          <w:rFonts w:asciiTheme="majorBidi" w:hAnsiTheme="majorBidi" w:cstheme="majorBidi"/>
          <w:sz w:val="24"/>
          <w:szCs w:val="24"/>
        </w:rPr>
        <w:t>flash back</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היא חלק מטכניקות הזמן הבולטות ביותר ברומן הנשי הפלסטיני בכל אזורי קיומו של רומן זה. השימוש העיקרי של טכניקה זו נסב על שני צירים עיקרים – הזהות הנשית והמולדת. במסגרת השיח שלי על גילויי הזמן ועל חשיבותו של יסוד זה באומנות הנשית של הרומן הפלסטיני, הראיתי כי יסוד זה קשור קשר הדוק עם יסוד המקום, כפי שעולה מהחלק השלישי. נמצא, שהמקום בולט מאוד בז'אנר זה, והוא בעל ייחודיות מסוימת, הנובעת מהימצאות שני צדדים הנאבקים עליו, הפלסטינים והישראלים, כשכל צד מנסה להשתלט עליו ולאשש את הנוכחות שלו במרחב. מנקודת תצפית זו, מצאתי שציר הספרות הפלסטינית נע סביב אובדן המולדת המתגלמת במקום. המקום הוא יסוד מרכזי ברומן הנשי הפלסטיני. המקומות מגוונים בטיפוסים שלהם, בצורותיהם ובפרוייקציות הסמנטיות שלהם. את הטיפוסים האלה חילקתי באופן הבא: מקום אחד בלבד, שלל מקומות והיעדר מקומות. המסקנה היא שהיחס בין הסופר למקום אינו יחס זמני או שולי, כי אם זיקה צמודה המתבססת על השפעה והשפעה הדדית. הפלסטיני נקשר למקום בקשר הדוק והוא תרגם את הזיקה הזאת באמצעים שונים הקשורים לתנאים הפוליטיים, הסביבתיים ולמידת המחויבות של הסופר לסוגיה שלו. הזיקה הזו משתנה בהתאם לצורות המקום ולהשפעתן על עיצוב הדמות, והיא יכולה להיות זיקה של קשר ותלות, או יחס של שנאה וסלידה.</w:t>
      </w:r>
    </w:p>
    <w:p w:rsidR="00102690" w:rsidRDefault="00102690" w:rsidP="00102690">
      <w:pPr>
        <w:spacing w:line="360" w:lineRule="auto"/>
        <w:jc w:val="both"/>
        <w:rPr>
          <w:rFonts w:asciiTheme="majorBidi" w:hAnsiTheme="majorBidi" w:cstheme="majorBidi"/>
          <w:sz w:val="24"/>
          <w:szCs w:val="24"/>
          <w:rtl/>
        </w:rPr>
      </w:pPr>
      <w:r w:rsidRPr="00832663">
        <w:rPr>
          <w:rFonts w:asciiTheme="majorBidi" w:hAnsiTheme="majorBidi" w:cstheme="majorBidi"/>
          <w:sz w:val="24"/>
          <w:szCs w:val="24"/>
          <w:rtl/>
        </w:rPr>
        <w:t xml:space="preserve">בחלק הרביעי התחקיתי אחר הצורות והדפוסים של מְספר הרומן הנשי הפלסטיני, ומצאתי שהסופרות הפלסטיניות השתמשו בשני דפוסים עיקריים של מספרים. הדפוס הראשון הוא מספר כל יודע, הוא מספר המוסר את העלילה כמי שיודע את הכול ורואה הכול; והדפוס השני יכול להיות גם מספר עד, גיבור, משתתף באירועים. הגיוון בדמות המספר נועד לחלוק את משימת הסיפּר בין מספר דמויות. כדי להגשים את החשיבה הנשית המטיפה לביסוס מעמד האישה, נבחרו דמויות נשיות ואילו הדמויות הגבריות הודרו ממרכז היצירות הספרותיות מתוך מחשבה להפחתה במעמדו של הגבר. הסופרות הפלסטיניות הפקידו את מעשה הסיפר בידי המספר הנשי לצורך חיזוק מעמד האישה ברומן. חשוב לציין, כי למרות הדומיננטיות של המְספר הנשי במספר רומנים נשיים פלסטיניים, הדבר לא מנע את השתלטותו של המספר הפטריארכלי בחלק מן הרומנים. בחלק החמישי התייחסתי אל הדיאלוג. אמצעי זה נחשב לאחת הטכניקות האומנותיות הנשיות ששימשו ברומן הנשי הפלסטיני. נמצא שהסופרות הפלסטיניות השתמשו בשני סוגים של דו-שיח. דו-שיח חיצוני ישיר ובלתי ישיר; ודו-שיח פנימי ישיר ובלתי ישיר. במסגרת הדיון שלנו על טכניקת הדו-שיח, עמדנו על גילוייה של תופעה זו, סקרנו את צורות הטכניקה הזו ודפוסיה ועמדנו על תפקידיה הבולטים. כמו כן, עמדנו על החידושים הבולטים בטכניקה זו בזמננו זה. כאן המקום לציין, שההתפתחויות הטכנולוגיות </w:t>
      </w:r>
      <w:r w:rsidRPr="00832663">
        <w:rPr>
          <w:rFonts w:asciiTheme="majorBidi" w:hAnsiTheme="majorBidi" w:cstheme="majorBidi"/>
          <w:sz w:val="24"/>
          <w:szCs w:val="24"/>
          <w:rtl/>
        </w:rPr>
        <w:lastRenderedPageBreak/>
        <w:t>תרמו לשימוש בדו-שיח החיצוני ברבים מן היצירות. רוצה לומר, שהטכנולוגיה כפתה את הכלים ואת הטכניקות שלה על הספרות. הדבר בולט במספר רומנים, שבהם הסופרות הפלסטיניות השתמשה בדפוס הדו-שיח השכיח באמצעי התקשורת החברתיים, כגון הדואר האלקטרוני,</w:t>
      </w:r>
      <w:r>
        <w:rPr>
          <w:rFonts w:asciiTheme="majorBidi" w:hAnsiTheme="majorBidi" w:cstheme="majorBidi"/>
          <w:sz w:val="24"/>
          <w:szCs w:val="24"/>
          <w:rtl/>
        </w:rPr>
        <w:t xml:space="preserve"> התכתובות האלקטרוניות והפיסבוק.</w:t>
      </w:r>
    </w:p>
    <w:p w:rsidR="00102690" w:rsidRDefault="00102690" w:rsidP="00102690">
      <w:pPr>
        <w:spacing w:line="360" w:lineRule="auto"/>
        <w:jc w:val="both"/>
        <w:rPr>
          <w:rFonts w:asciiTheme="majorBidi" w:hAnsiTheme="majorBidi" w:cstheme="majorBidi"/>
          <w:sz w:val="24"/>
          <w:szCs w:val="24"/>
          <w:rtl/>
        </w:rPr>
      </w:pPr>
      <w:r w:rsidRPr="00832663">
        <w:rPr>
          <w:rFonts w:asciiTheme="majorBidi" w:hAnsiTheme="majorBidi" w:cstheme="majorBidi"/>
          <w:sz w:val="24"/>
          <w:szCs w:val="24"/>
          <w:rtl/>
        </w:rPr>
        <w:t xml:space="preserve">מכלל הטכניקות הבולטות שהסיפורת הנשית המודרנית מתבססת עליהן במרדנותה נגד הנוהגים המסורתיים – היא טכניקת האינטרטקסטואליות, שהרחבתי את הדיון אודותיה בחלק השישי. טכניקה זו מאפשרת לסופרות למוטט את הנוהגים, הן ברמה של הסגנון הן ברמה של התכנים, שביססה החברה הפטריארכלית. בהיבט של התוכן, הסופרות הפלסטיניות באשר הן השתמשו בנושאים אינטרקטסטואליים שונים ובצורות שונות שמרביתם נסבו סביב הזהות הנשית. החלק הזה חשף את התעוזה של הסופרת הפלסטינית בהבאת נושאים אינטרטקסטואליים, שבאמצעותם הבקיעה את השילוש האסור. בהיבט של הסגנון, הטכניקה של האינטרטקסטואליות אפשרה לסופרות להנכיח יסודות מז'אנרים ספרותיים שונים ברומנים וליצור שילוב  ספרותי, ובכך לרופף את מסלול העלילה העולֶה, הנותן בידן את האפשרות לפגוע בגישה של המין הספרותי ולמוטט אותה. בחלק השביעי טיפלתי גם בטכניקות הצורניות ברומן הנשי הפלסטיני. טכניקות אלו הופיעו בטקסטים של הרומן בשני אופנים עיקריים. האופן הראשון הוא התמונה הקולית, שהתגלמה באמצעות השימוש בטכניקות הקוליות הבאות: אינטרטקסטואליות של קטעים שיריים ושירים ליטורגיים, החזרה, </w:t>
      </w:r>
      <w:r w:rsidRPr="00832663">
        <w:rPr>
          <w:rFonts w:asciiTheme="majorBidi" w:hAnsiTheme="majorBidi" w:cstheme="majorBidi"/>
          <w:sz w:val="24"/>
          <w:szCs w:val="24"/>
          <w:rtl/>
          <w:lang w:bidi="ar-SA"/>
        </w:rPr>
        <w:t>(</w:t>
      </w:r>
      <w:r w:rsidRPr="00832663">
        <w:rPr>
          <w:rFonts w:asciiTheme="majorBidi" w:hAnsiTheme="majorBidi" w:cstheme="majorBidi"/>
          <w:sz w:val="24"/>
          <w:szCs w:val="24"/>
        </w:rPr>
        <w:t>repetition</w:t>
      </w:r>
      <w:r w:rsidRPr="00832663">
        <w:rPr>
          <w:rFonts w:asciiTheme="majorBidi" w:hAnsiTheme="majorBidi" w:cstheme="majorBidi"/>
          <w:sz w:val="24"/>
          <w:szCs w:val="24"/>
          <w:rtl/>
          <w:lang w:bidi="ar-SA"/>
        </w:rPr>
        <w:t>)</w:t>
      </w:r>
      <w:r w:rsidRPr="00832663">
        <w:rPr>
          <w:rFonts w:asciiTheme="majorBidi" w:hAnsiTheme="majorBidi" w:cstheme="majorBidi"/>
          <w:sz w:val="24"/>
          <w:szCs w:val="24"/>
          <w:rtl/>
        </w:rPr>
        <w:t xml:space="preserve">, החזרה הקולית </w:t>
      </w:r>
      <w:r w:rsidRPr="00832663">
        <w:rPr>
          <w:rFonts w:asciiTheme="majorBidi" w:hAnsiTheme="majorBidi" w:cstheme="majorBidi"/>
          <w:sz w:val="24"/>
          <w:szCs w:val="24"/>
          <w:rtl/>
          <w:lang w:bidi="ar-SA"/>
        </w:rPr>
        <w:t>(</w:t>
      </w:r>
      <w:r w:rsidRPr="00832663">
        <w:rPr>
          <w:rFonts w:asciiTheme="majorBidi" w:hAnsiTheme="majorBidi" w:cstheme="majorBidi"/>
          <w:sz w:val="24"/>
          <w:szCs w:val="24"/>
        </w:rPr>
        <w:t>echo</w:t>
      </w:r>
      <w:r w:rsidRPr="00832663">
        <w:rPr>
          <w:rFonts w:asciiTheme="majorBidi" w:hAnsiTheme="majorBidi" w:cstheme="majorBidi"/>
          <w:sz w:val="24"/>
          <w:szCs w:val="24"/>
          <w:rtl/>
          <w:lang w:bidi="ar-SA"/>
        </w:rPr>
        <w:t>)</w:t>
      </w:r>
      <w:r w:rsidRPr="00832663">
        <w:rPr>
          <w:rFonts w:asciiTheme="majorBidi" w:hAnsiTheme="majorBidi" w:cstheme="majorBidi"/>
          <w:sz w:val="24"/>
          <w:szCs w:val="24"/>
          <w:rtl/>
        </w:rPr>
        <w:t>,</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 xml:space="preserve">הכתיבה הקולית </w:t>
      </w:r>
      <w:r w:rsidRPr="00832663">
        <w:rPr>
          <w:rFonts w:asciiTheme="majorBidi" w:hAnsiTheme="majorBidi" w:cstheme="majorBidi"/>
          <w:sz w:val="24"/>
          <w:szCs w:val="24"/>
          <w:rtl/>
          <w:lang w:bidi="ar-SA"/>
        </w:rPr>
        <w:t>(</w:t>
      </w:r>
      <w:r w:rsidRPr="00832663">
        <w:rPr>
          <w:rFonts w:asciiTheme="majorBidi" w:hAnsiTheme="majorBidi" w:cstheme="majorBidi"/>
          <w:sz w:val="24"/>
          <w:szCs w:val="24"/>
        </w:rPr>
        <w:t>transcription</w:t>
      </w:r>
      <w:r w:rsidRPr="00832663">
        <w:rPr>
          <w:rFonts w:asciiTheme="majorBidi" w:hAnsiTheme="majorBidi" w:cstheme="majorBidi"/>
          <w:sz w:val="24"/>
          <w:szCs w:val="24"/>
          <w:rtl/>
          <w:lang w:bidi="ar-SA"/>
        </w:rPr>
        <w:t>)</w:t>
      </w:r>
      <w:r w:rsidRPr="00832663">
        <w:rPr>
          <w:rFonts w:asciiTheme="majorBidi" w:hAnsiTheme="majorBidi" w:cstheme="majorBidi"/>
          <w:sz w:val="24"/>
          <w:szCs w:val="24"/>
          <w:rtl/>
        </w:rPr>
        <w:t>,</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אונומוטיפיה</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Pr>
        <w:t>onomatopoeia</w:t>
      </w:r>
      <w:r w:rsidRPr="00832663">
        <w:rPr>
          <w:rFonts w:asciiTheme="majorBidi" w:hAnsiTheme="majorBidi" w:cstheme="majorBidi"/>
          <w:sz w:val="24"/>
          <w:szCs w:val="24"/>
          <w:rtl/>
          <w:lang w:bidi="ar-SA"/>
        </w:rPr>
        <w:t>)</w:t>
      </w:r>
      <w:r w:rsidRPr="00832663">
        <w:rPr>
          <w:rFonts w:asciiTheme="majorBidi" w:hAnsiTheme="majorBidi" w:cstheme="majorBidi"/>
          <w:sz w:val="24"/>
          <w:szCs w:val="24"/>
          <w:rtl/>
        </w:rPr>
        <w:t xml:space="preserve">, צימוד קולי </w:t>
      </w:r>
      <w:r w:rsidRPr="00832663">
        <w:rPr>
          <w:rFonts w:asciiTheme="majorBidi" w:hAnsiTheme="majorBidi" w:cstheme="majorBidi"/>
          <w:sz w:val="24"/>
          <w:szCs w:val="24"/>
          <w:rtl/>
          <w:lang w:bidi="ar-SA"/>
        </w:rPr>
        <w:t>(</w:t>
      </w:r>
      <w:r w:rsidRPr="00832663">
        <w:rPr>
          <w:rFonts w:asciiTheme="majorBidi" w:hAnsiTheme="majorBidi" w:cstheme="majorBidi"/>
          <w:sz w:val="24"/>
          <w:szCs w:val="24"/>
        </w:rPr>
        <w:t>assonance</w:t>
      </w:r>
      <w:r w:rsidRPr="00832663">
        <w:rPr>
          <w:rFonts w:asciiTheme="majorBidi" w:hAnsiTheme="majorBidi" w:cstheme="majorBidi"/>
          <w:sz w:val="24"/>
          <w:szCs w:val="24"/>
          <w:rtl/>
          <w:lang w:bidi="ar-SA"/>
        </w:rPr>
        <w:t>)</w:t>
      </w:r>
      <w:r w:rsidRPr="00832663">
        <w:rPr>
          <w:rFonts w:asciiTheme="majorBidi" w:hAnsiTheme="majorBidi" w:cstheme="majorBidi"/>
          <w:sz w:val="24"/>
          <w:szCs w:val="24"/>
          <w:rtl/>
        </w:rPr>
        <w:t>. האופן השני הוא התמונה החזותית לצורותיה ולגווניה, שהתגלמה באמצעות השימוש בגורמים החזותיים הבאים: ציורים אמנותיים, תמונות פוטוגרפיות, אימאז', רשימות, צבעים, כתיבה מקוטעת, שימוש אינטנסיבי בסימני הפיסוק ככלים אקספרסיביים, גיוון בגודל הגופן וצורת הכתב. במסגרת הדיון שלנו בטכניקות הצורניות ברומן הנשי הפלסטיני, מצאנו שהיסודות האמנותיים משחקים תפקיד מיוחד בהבלטת המאבק הניטש בין היצירתיות ובין מעמד האישה בחברות הערביות המסורתיות, המסרבות לקבל את היצירתיות הנשית לגווניה</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נוכח זאת, הסופרת הפלסטינית נאבקה בכבלים החברתיים האלה באמצעות הצגה של טיפוס נשי יצירתי ביצירות הספרותיות שלה. פעמים רבות נטו הסופרות הפלסטיניות להשתמש בטכניקת המיזוג בין הדמות ובין הסופרת. כמה מן הסופרות בחרו לדמויות שלהן תחביבים, העולים בקנה אחד עם התחביבים האמנותיים של הסופרת. מסקנתי היא, כי על אף היות הטכניקות הצורניות האמנותיות אחת התופעות הבולטות של הכתיבה המודרנית הניסויית, טכניקות אלו הן מגילויי ממהפכת הסיפורת הנשית נגד תיאוריית המין הספרותית. הסיפורת הנשית הפלסטינית נטתה להשתמש בטכניקות הצורניות האומנותיות בצורה אינטנסיבית וככלי שבאמצעותו הסופרת הפלסטינית רצתה להציב את הזהות הנשית במרכז היצירה הספרותית ולהוכיח באמצעותה את רוחב אופק החשיבה שלה ואת ההיכרות שלה עם ההישגים הן של האומנות הערבית הן של האומנות העולמית. כן ראיתי, שהטכניקות האלה הן כעין מסכה שהסופרת מסתתרת מאחוריה כדי להביע את צפונותיה הנשיות ואת הדעה שלה בחירות מוחלטת, הרחק מעיני השלטון ועל אפה</w:t>
      </w:r>
      <w:r>
        <w:rPr>
          <w:rFonts w:asciiTheme="majorBidi" w:hAnsiTheme="majorBidi" w:cstheme="majorBidi"/>
          <w:sz w:val="24"/>
          <w:szCs w:val="24"/>
          <w:rtl/>
        </w:rPr>
        <w:t xml:space="preserve"> ועל חמתה של החברה הפטריארכלית.</w:t>
      </w:r>
    </w:p>
    <w:p w:rsidR="00102690" w:rsidRDefault="00102690" w:rsidP="00102690">
      <w:pPr>
        <w:spacing w:line="360" w:lineRule="auto"/>
        <w:jc w:val="both"/>
        <w:rPr>
          <w:rFonts w:asciiTheme="majorBidi" w:hAnsiTheme="majorBidi" w:cstheme="majorBidi"/>
          <w:sz w:val="24"/>
          <w:szCs w:val="24"/>
          <w:rtl/>
        </w:rPr>
      </w:pPr>
      <w:r w:rsidRPr="00832663">
        <w:rPr>
          <w:rFonts w:asciiTheme="majorBidi" w:hAnsiTheme="majorBidi" w:cstheme="majorBidi"/>
          <w:sz w:val="24"/>
          <w:szCs w:val="24"/>
          <w:rtl/>
        </w:rPr>
        <w:lastRenderedPageBreak/>
        <w:t>בחלק השמיני עמדנו על המשלבים הלשוניים ברומן הנשי הפלסטיני. נמצא שהסופרות הפלסטיניות נטו להשתמש בתבניות לשוניות עממיות, אף שתבניות אלו אינן מוגבלות לתחום הכתיבה הנשית והן שכיחות בספרות הרשמית. אולם, השימוש האינטנסיבי בתבניות אלה, והיכולת להפוך את התבניות לכלים התורמים להגשמת המחשבה הנשית, המטיפה לקריסת הנוהגים החברתיים והספרותיים שהשתיתה  החברה האבהית, הם אלה המשמשים סימן היכר לסיפורת הנשית. זאת ועוד, הנטייה של הסופרות להשתמש בתבניות לשוניות מיוחדות בעלות אופי נשי טהור נחשבת לאחד הניסיונות הבולטים ברומן הנשי הערבי המודרני. שימוש זה נבע מן האמונה של הסופרות בעיקרון ההגשמה העצמית, המתחילה במאבק נגד ההגמוניה של הלשון האבהית וביציאה בהפיכה נגדה. מכלל התופעות הסגנוניות המושכות  את תשומת הלב באומנות הרומן הנשי הפלסטיני היא תופעת השילוב השפתי של לשונות שונות בטקסט הערבי. בכתיבה של הסופרות הפלסטיניות קיימת השאלה לשונית (</w:t>
      </w:r>
      <w:r w:rsidRPr="00832663">
        <w:rPr>
          <w:rFonts w:asciiTheme="majorBidi" w:hAnsiTheme="majorBidi" w:cstheme="majorBidi"/>
          <w:sz w:val="24"/>
          <w:szCs w:val="24"/>
        </w:rPr>
        <w:t>borrowing</w:t>
      </w:r>
      <w:r w:rsidRPr="00832663">
        <w:rPr>
          <w:rFonts w:asciiTheme="majorBidi" w:hAnsiTheme="majorBidi" w:cstheme="majorBidi"/>
          <w:sz w:val="24"/>
          <w:szCs w:val="24"/>
          <w:rtl/>
        </w:rPr>
        <w:t>) באמצעות שימוש במילים לועזיות (</w:t>
      </w:r>
      <w:r w:rsidRPr="00832663">
        <w:rPr>
          <w:rFonts w:asciiTheme="majorBidi" w:hAnsiTheme="majorBidi" w:cstheme="majorBidi"/>
          <w:sz w:val="24"/>
          <w:szCs w:val="24"/>
        </w:rPr>
        <w:t>foreign word or expression/ loanword</w:t>
      </w:r>
      <w:r w:rsidRPr="00832663">
        <w:rPr>
          <w:rFonts w:asciiTheme="majorBidi" w:hAnsiTheme="majorBidi" w:cstheme="majorBidi"/>
          <w:sz w:val="24"/>
          <w:szCs w:val="24"/>
          <w:rtl/>
        </w:rPr>
        <w:t>) ושימוש במילים לועזיות שסופחו לשפה הערבית (</w:t>
      </w:r>
      <w:r w:rsidRPr="00832663">
        <w:rPr>
          <w:rFonts w:asciiTheme="majorBidi" w:hAnsiTheme="majorBidi" w:cstheme="majorBidi"/>
          <w:sz w:val="24"/>
          <w:szCs w:val="24"/>
        </w:rPr>
        <w:t>arabicized</w:t>
      </w:r>
      <w:r w:rsidRPr="00832663">
        <w:rPr>
          <w:rFonts w:asciiTheme="majorBidi" w:hAnsiTheme="majorBidi" w:cstheme="majorBidi"/>
          <w:sz w:val="24"/>
          <w:szCs w:val="24"/>
          <w:rtl/>
        </w:rPr>
        <w:t>). מילים מלשון לעז שימשו את הסופרות הפלסטיניות בדרכים שונות</w:t>
      </w:r>
      <w:r>
        <w:rPr>
          <w:rFonts w:asciiTheme="majorBidi" w:hAnsiTheme="majorBidi" w:cstheme="majorBidi"/>
          <w:sz w:val="24"/>
          <w:szCs w:val="24"/>
          <w:rtl/>
        </w:rPr>
        <w:t xml:space="preserve"> בהתאם לנסיבות ולגורמים השונים.</w:t>
      </w:r>
    </w:p>
    <w:p w:rsidR="00102690" w:rsidRPr="00832663" w:rsidRDefault="00102690" w:rsidP="00102690">
      <w:pPr>
        <w:spacing w:line="360" w:lineRule="auto"/>
        <w:jc w:val="both"/>
        <w:rPr>
          <w:rFonts w:asciiTheme="majorBidi" w:hAnsiTheme="majorBidi" w:cstheme="majorBidi"/>
          <w:sz w:val="24"/>
          <w:szCs w:val="24"/>
          <w:rtl/>
        </w:rPr>
      </w:pPr>
      <w:r w:rsidRPr="00832663">
        <w:rPr>
          <w:rFonts w:asciiTheme="majorBidi" w:hAnsiTheme="majorBidi" w:cstheme="majorBidi"/>
          <w:sz w:val="24"/>
          <w:szCs w:val="24"/>
          <w:rtl/>
        </w:rPr>
        <w:t>בחלק התשיעי הפניתי את תשומת הלב לתופעת שילוב מילים מהשפה העברית (</w:t>
      </w:r>
      <w:r w:rsidRPr="00832663">
        <w:rPr>
          <w:rFonts w:asciiTheme="majorBidi" w:hAnsiTheme="majorBidi" w:cstheme="majorBidi"/>
          <w:sz w:val="24"/>
          <w:szCs w:val="24"/>
        </w:rPr>
        <w:t>linguistic interference</w:t>
      </w:r>
      <w:r w:rsidRPr="00832663">
        <w:rPr>
          <w:rFonts w:asciiTheme="majorBidi" w:hAnsiTheme="majorBidi" w:cstheme="majorBidi"/>
          <w:sz w:val="24"/>
          <w:szCs w:val="24"/>
          <w:rtl/>
        </w:rPr>
        <w:t>) ברומן הנשי הפלסטיני. השילוב הלשוני של השפה העברית ברומן הנשי הפלסטיני של העת המודרנית בכלל, וברומן הנשי הפלסטיני בישראל, בפרט, בולט מאוד. הסיבות לכך הן שהשפה העברית נחשבת לשפה מרכזית במאגר הלשוני של האזרחים הערבים במדינת ישראל והשפעתה אינה מצטמצמת רק בתחומי החיים היומיומיים, אלא קשורה לסוגיה של הזהות. השילוב של השפה העברית באומנות הרומן הנשי הפלסטיני לבשה צורות שונות הקשורות לכל רמות הלשון: הקולות, ההגאים, ההלחמים והיחידות הלקסיקאליות</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בחלק העשירי הפניתי את תשומת הלב לתופעת השילוב הלשוני של השפות הלועזיות ברומן הנשי הפלסטיני</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התברר ששאילת מילים מן הלשונות הזרות, במיוחד מהשפה האנגלית, היא תופעה בולטת באומנות הרומן הנשי הפלסטיני</w:t>
      </w:r>
      <w:r w:rsidRPr="00832663">
        <w:rPr>
          <w:rFonts w:asciiTheme="majorBidi" w:hAnsiTheme="majorBidi" w:cstheme="majorBidi"/>
          <w:sz w:val="24"/>
          <w:szCs w:val="24"/>
          <w:rtl/>
          <w:lang w:bidi="ar-SA"/>
        </w:rPr>
        <w:t>.</w:t>
      </w:r>
      <w:r w:rsidRPr="00832663">
        <w:rPr>
          <w:rFonts w:asciiTheme="majorBidi" w:hAnsiTheme="majorBidi" w:cstheme="majorBidi"/>
          <w:sz w:val="24"/>
          <w:szCs w:val="24"/>
          <w:rtl/>
        </w:rPr>
        <w:t xml:space="preserve"> מקורה של תופעה זו כרוך בשלושה גורמים עיקריים: הגורם הפוליטי, הגורם התרבותי והגורם החברתי. ראוי לציין, שהשאילה הלשונית מן השפות הלועזיות אינה מוגבלת רק לתחום הלקסיקאלי, כי אם נוגעת למשלבי הלשון השונים. בחלק האחד העשר והאחרון, התחקיתי אחר תופעת השילוב של הז'אנרים הספרותיים השונים ברומן הנשי הפלסטיני, תופעה הנחשבת לבולטת ביותר בכתיבה הנשית הניסיונית של הסופרות הפלסטיניות בתקופה המודרנית, למרות שכיחותה בספרות הרשמית. מה שהופך תופעה זו לאחד הגילויים של הכתיבה הנשית המודרנית הוא היכולת של הסופרות להשתמש בתופעה זו כאמצעי שבעזרתו יוצאות בהפיכה נגד הנוהגים הספרותיים המסורתיים</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אנו מצאנו, שהסיפורת הנשית הפלסטינית יצאה חוצץ נגד תיאוריית הז'אנר הספרותי ועמלה על מיטוטה באמצעות עירוב בין ז'אנרים ספרותיים שונים</w:t>
      </w:r>
      <w:r w:rsidRPr="00832663">
        <w:rPr>
          <w:rFonts w:asciiTheme="majorBidi" w:hAnsiTheme="majorBidi" w:cstheme="majorBidi"/>
          <w:sz w:val="24"/>
          <w:szCs w:val="24"/>
          <w:rtl/>
          <w:lang w:bidi="ar-SA"/>
        </w:rPr>
        <w:t xml:space="preserve"> </w:t>
      </w:r>
      <w:r w:rsidRPr="00832663">
        <w:rPr>
          <w:rFonts w:asciiTheme="majorBidi" w:hAnsiTheme="majorBidi" w:cstheme="majorBidi"/>
          <w:sz w:val="24"/>
          <w:szCs w:val="24"/>
          <w:rtl/>
        </w:rPr>
        <w:t xml:space="preserve">וקוטביים, ששיווה לסיפורת הזאת ממד של ערפול וסיבוך. </w:t>
      </w:r>
    </w:p>
    <w:p w:rsidR="00677919" w:rsidRDefault="00677919"/>
    <w:sectPr w:rsidR="00677919" w:rsidSect="00A7169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2D9" w:rsidRDefault="00EB2D35">
      <w:pPr>
        <w:spacing w:after="0" w:line="240" w:lineRule="auto"/>
      </w:pPr>
      <w:r>
        <w:separator/>
      </w:r>
    </w:p>
  </w:endnote>
  <w:endnote w:type="continuationSeparator" w:id="0">
    <w:p w:rsidR="003C32D9" w:rsidRDefault="00EB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NSimSun">
    <w:panose1 w:val="02010609030101010101"/>
    <w:charset w:val="86"/>
    <w:family w:val="modern"/>
    <w:pitch w:val="fixed"/>
    <w:sig w:usb0="0000028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2D9" w:rsidRDefault="00EB2D35">
      <w:pPr>
        <w:spacing w:after="0" w:line="240" w:lineRule="auto"/>
      </w:pPr>
      <w:r>
        <w:separator/>
      </w:r>
    </w:p>
  </w:footnote>
  <w:footnote w:type="continuationSeparator" w:id="0">
    <w:p w:rsidR="003C32D9" w:rsidRDefault="00EB2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73956194"/>
      <w:docPartObj>
        <w:docPartGallery w:val="Page Numbers (Top of Page)"/>
        <w:docPartUnique/>
      </w:docPartObj>
    </w:sdtPr>
    <w:sdtEndPr/>
    <w:sdtContent>
      <w:p w:rsidR="00FD0189" w:rsidRDefault="00C375F0" w:rsidP="00950EFD">
        <w:pPr>
          <w:pStyle w:val="a3"/>
          <w:jc w:val="center"/>
          <w:rPr>
            <w:rtl/>
            <w:cs/>
          </w:rPr>
        </w:pPr>
      </w:p>
    </w:sdtContent>
  </w:sdt>
  <w:p w:rsidR="006243E0" w:rsidRDefault="00C375F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189" w:rsidRDefault="00C375F0" w:rsidP="00FD018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90"/>
    <w:rsid w:val="00102690"/>
    <w:rsid w:val="003C32D9"/>
    <w:rsid w:val="00677919"/>
    <w:rsid w:val="00A714E5"/>
    <w:rsid w:val="00A71691"/>
    <w:rsid w:val="00C375F0"/>
    <w:rsid w:val="00EB2D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7E7A2-1D80-4C7F-A03F-C055F9DB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690"/>
    <w:pPr>
      <w:bidi/>
      <w:spacing w:after="200" w:line="276" w:lineRule="auto"/>
    </w:pPr>
    <w:rPr>
      <w:rFonts w:ascii="Calibri" w:eastAsia="Calibri" w:hAnsi="Calibri" w:cs="Arial"/>
    </w:rPr>
  </w:style>
  <w:style w:type="paragraph" w:styleId="1">
    <w:name w:val="heading 1"/>
    <w:basedOn w:val="a"/>
    <w:next w:val="a"/>
    <w:link w:val="10"/>
    <w:uiPriority w:val="9"/>
    <w:qFormat/>
    <w:rsid w:val="00102690"/>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02690"/>
    <w:rPr>
      <w:rFonts w:ascii="Cambria" w:eastAsia="Times New Roman" w:hAnsi="Cambria" w:cs="Times New Roman"/>
      <w:b/>
      <w:bCs/>
      <w:color w:val="365F91"/>
      <w:sz w:val="28"/>
      <w:szCs w:val="28"/>
    </w:rPr>
  </w:style>
  <w:style w:type="paragraph" w:styleId="a3">
    <w:name w:val="header"/>
    <w:basedOn w:val="a"/>
    <w:link w:val="a4"/>
    <w:uiPriority w:val="99"/>
    <w:unhideWhenUsed/>
    <w:rsid w:val="00A714E5"/>
    <w:pPr>
      <w:tabs>
        <w:tab w:val="center" w:pos="4153"/>
        <w:tab w:val="right" w:pos="8306"/>
      </w:tabs>
      <w:spacing w:after="0" w:line="240" w:lineRule="auto"/>
    </w:pPr>
    <w:rPr>
      <w:rFonts w:cs="Times New Roman"/>
      <w:sz w:val="20"/>
      <w:szCs w:val="20"/>
    </w:rPr>
  </w:style>
  <w:style w:type="character" w:customStyle="1" w:styleId="a4">
    <w:name w:val="כותרת עליונה תו"/>
    <w:basedOn w:val="a0"/>
    <w:link w:val="a3"/>
    <w:uiPriority w:val="99"/>
    <w:rsid w:val="00A714E5"/>
    <w:rPr>
      <w:rFonts w:ascii="Calibri" w:eastAsia="Calibri" w:hAnsi="Calibri" w:cs="Times New Roman"/>
      <w:sz w:val="20"/>
      <w:szCs w:val="20"/>
    </w:rPr>
  </w:style>
  <w:style w:type="paragraph" w:styleId="a5">
    <w:name w:val="footer"/>
    <w:basedOn w:val="a"/>
    <w:link w:val="a6"/>
    <w:uiPriority w:val="99"/>
    <w:unhideWhenUsed/>
    <w:rsid w:val="00A714E5"/>
    <w:pPr>
      <w:tabs>
        <w:tab w:val="center" w:pos="4153"/>
        <w:tab w:val="right" w:pos="8306"/>
      </w:tabs>
      <w:spacing w:after="0" w:line="240" w:lineRule="auto"/>
    </w:pPr>
    <w:rPr>
      <w:rFonts w:cs="Times New Roman"/>
      <w:sz w:val="20"/>
      <w:szCs w:val="20"/>
    </w:rPr>
  </w:style>
  <w:style w:type="character" w:customStyle="1" w:styleId="a6">
    <w:name w:val="כותרת תחתונה תו"/>
    <w:basedOn w:val="a0"/>
    <w:link w:val="a5"/>
    <w:uiPriority w:val="99"/>
    <w:rsid w:val="00A714E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4277</Words>
  <Characters>24384</Characters>
  <Application>Microsoft Office Word</Application>
  <DocSecurity>0</DocSecurity>
  <Lines>203</Lines>
  <Paragraphs>57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Edna Dar</cp:lastModifiedBy>
  <cp:revision>2</cp:revision>
  <dcterms:created xsi:type="dcterms:W3CDTF">2021-09-30T07:25:00Z</dcterms:created>
  <dcterms:modified xsi:type="dcterms:W3CDTF">2021-09-30T07:25:00Z</dcterms:modified>
</cp:coreProperties>
</file>