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ED" w:rsidRPr="009607ED" w:rsidRDefault="009607ED" w:rsidP="009607ED">
      <w:pPr>
        <w:spacing w:line="276" w:lineRule="auto"/>
        <w:jc w:val="center"/>
        <w:rPr>
          <w:b/>
          <w:bCs/>
          <w:sz w:val="23"/>
          <w:szCs w:val="23"/>
        </w:rPr>
      </w:pPr>
      <w:bookmarkStart w:id="0" w:name="OLE_LINK1"/>
      <w:bookmarkStart w:id="1" w:name="OLE_LINK2"/>
      <w:r w:rsidRPr="009607ED">
        <w:rPr>
          <w:noProof/>
          <w:sz w:val="23"/>
          <w:szCs w:val="23"/>
          <w:lang w:val="en-US"/>
        </w:rPr>
        <w:drawing>
          <wp:inline distT="0" distB="0" distL="0" distR="0" wp14:anchorId="5A9C3FEE" wp14:editId="374D79CF">
            <wp:extent cx="1558290" cy="768350"/>
            <wp:effectExtent l="0" t="0" r="3810" b="0"/>
            <wp:docPr id="1" name="תמונה 1" descr="ילדה קוראת על עץ-ערו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לדה קוראת על עץ-ערוך"/>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290" cy="768350"/>
                    </a:xfrm>
                    <a:prstGeom prst="rect">
                      <a:avLst/>
                    </a:prstGeom>
                    <a:noFill/>
                    <a:ln>
                      <a:noFill/>
                    </a:ln>
                  </pic:spPr>
                </pic:pic>
              </a:graphicData>
            </a:graphic>
          </wp:inline>
        </w:drawing>
      </w:r>
    </w:p>
    <w:p w:rsidR="009607ED" w:rsidRPr="009607ED" w:rsidRDefault="009607ED" w:rsidP="009607ED">
      <w:pPr>
        <w:jc w:val="center"/>
        <w:rPr>
          <w:b/>
          <w:bCs/>
          <w:sz w:val="23"/>
          <w:szCs w:val="23"/>
          <w:rtl/>
        </w:rPr>
      </w:pPr>
      <w:r w:rsidRPr="009607ED">
        <w:rPr>
          <w:b/>
          <w:bCs/>
          <w:sz w:val="23"/>
          <w:szCs w:val="23"/>
          <w:rtl/>
        </w:rPr>
        <w:t>אוניברסיטת תל אביב</w:t>
      </w:r>
    </w:p>
    <w:p w:rsidR="009607ED" w:rsidRPr="009607ED" w:rsidRDefault="009607ED" w:rsidP="009607ED">
      <w:pPr>
        <w:jc w:val="center"/>
        <w:rPr>
          <w:b/>
          <w:bCs/>
          <w:sz w:val="23"/>
          <w:szCs w:val="23"/>
          <w:rtl/>
        </w:rPr>
      </w:pPr>
      <w:r w:rsidRPr="009607ED">
        <w:rPr>
          <w:b/>
          <w:bCs/>
          <w:sz w:val="23"/>
          <w:szCs w:val="23"/>
          <w:rtl/>
        </w:rPr>
        <w:t>הפקולטה למדעי הרוח ע"ש לסלי וסאלי אנטין</w:t>
      </w:r>
    </w:p>
    <w:p w:rsidR="009607ED" w:rsidRPr="009607ED" w:rsidRDefault="009607ED" w:rsidP="009607ED">
      <w:pPr>
        <w:jc w:val="center"/>
        <w:rPr>
          <w:b/>
          <w:bCs/>
          <w:sz w:val="23"/>
          <w:szCs w:val="23"/>
          <w:rtl/>
        </w:rPr>
      </w:pPr>
      <w:r w:rsidRPr="009607ED">
        <w:rPr>
          <w:b/>
          <w:bCs/>
          <w:sz w:val="23"/>
          <w:szCs w:val="23"/>
          <w:rtl/>
        </w:rPr>
        <w:t>בית הספר למדעי התרבות</w:t>
      </w:r>
    </w:p>
    <w:p w:rsidR="009607ED" w:rsidRPr="009607ED" w:rsidRDefault="009607ED" w:rsidP="009607ED">
      <w:pPr>
        <w:jc w:val="center"/>
        <w:outlineLvl w:val="0"/>
        <w:rPr>
          <w:b/>
          <w:bCs/>
          <w:sz w:val="23"/>
          <w:szCs w:val="23"/>
          <w:rtl/>
        </w:rPr>
      </w:pPr>
      <w:r w:rsidRPr="009607ED">
        <w:rPr>
          <w:b/>
          <w:bCs/>
          <w:sz w:val="23"/>
          <w:szCs w:val="23"/>
          <w:rtl/>
        </w:rPr>
        <w:t xml:space="preserve">התכנית לתואר </w:t>
      </w:r>
      <w:r w:rsidRPr="009607ED">
        <w:rPr>
          <w:rFonts w:hint="cs"/>
          <w:b/>
          <w:bCs/>
          <w:sz w:val="23"/>
          <w:szCs w:val="23"/>
          <w:rtl/>
        </w:rPr>
        <w:t>ה</w:t>
      </w:r>
      <w:r w:rsidRPr="009607ED">
        <w:rPr>
          <w:b/>
          <w:bCs/>
          <w:sz w:val="23"/>
          <w:szCs w:val="23"/>
          <w:rtl/>
        </w:rPr>
        <w:t>שני במחקר תרבות הילד והנוער</w:t>
      </w:r>
    </w:p>
    <w:bookmarkEnd w:id="0"/>
    <w:bookmarkEnd w:id="1"/>
    <w:p w:rsidR="009607ED" w:rsidRPr="009607ED" w:rsidRDefault="009607ED" w:rsidP="009607ED">
      <w:pPr>
        <w:jc w:val="center"/>
        <w:rPr>
          <w:sz w:val="23"/>
          <w:szCs w:val="23"/>
          <w:u w:val="single"/>
          <w:rtl/>
        </w:rPr>
      </w:pPr>
    </w:p>
    <w:p w:rsidR="009607ED" w:rsidRPr="009607ED" w:rsidRDefault="009607ED" w:rsidP="00D9583C">
      <w:pPr>
        <w:spacing w:line="276" w:lineRule="auto"/>
        <w:jc w:val="center"/>
        <w:rPr>
          <w:b/>
          <w:bCs/>
          <w:sz w:val="23"/>
          <w:szCs w:val="23"/>
          <w:u w:val="single"/>
          <w:rtl/>
        </w:rPr>
      </w:pPr>
      <w:r w:rsidRPr="009607ED">
        <w:rPr>
          <w:b/>
          <w:bCs/>
          <w:sz w:val="23"/>
          <w:szCs w:val="23"/>
          <w:u w:val="single"/>
          <w:rtl/>
        </w:rPr>
        <w:t xml:space="preserve">בחינת גמר –  מסלול </w:t>
      </w:r>
      <w:bookmarkStart w:id="2" w:name="_GoBack"/>
      <w:bookmarkEnd w:id="2"/>
      <w:r w:rsidR="00E23018">
        <w:rPr>
          <w:b/>
          <w:bCs/>
          <w:sz w:val="23"/>
          <w:szCs w:val="23"/>
          <w:u w:val="single"/>
          <w:rtl/>
        </w:rPr>
        <w:t>עיוני</w:t>
      </w:r>
      <w:r w:rsidR="00E23018">
        <w:rPr>
          <w:rFonts w:hint="cs"/>
          <w:b/>
          <w:bCs/>
          <w:sz w:val="23"/>
          <w:szCs w:val="23"/>
          <w:u w:val="single"/>
          <w:rtl/>
        </w:rPr>
        <w:t xml:space="preserve"> (ללא תזה)</w:t>
      </w:r>
    </w:p>
    <w:p w:rsidR="009607ED" w:rsidRPr="009607ED" w:rsidRDefault="009607ED" w:rsidP="009607ED">
      <w:pPr>
        <w:spacing w:line="276" w:lineRule="auto"/>
        <w:rPr>
          <w:b/>
          <w:bCs/>
          <w:sz w:val="23"/>
          <w:szCs w:val="23"/>
          <w:rtl/>
        </w:rPr>
      </w:pPr>
      <w:r w:rsidRPr="009607ED">
        <w:rPr>
          <w:b/>
          <w:bCs/>
          <w:sz w:val="23"/>
          <w:szCs w:val="23"/>
          <w:rtl/>
        </w:rPr>
        <w:t xml:space="preserve">חלק א' </w:t>
      </w:r>
    </w:p>
    <w:p w:rsidR="009607ED" w:rsidRPr="009607ED" w:rsidRDefault="009607ED" w:rsidP="009607ED">
      <w:pPr>
        <w:spacing w:line="276" w:lineRule="auto"/>
        <w:rPr>
          <w:sz w:val="23"/>
          <w:szCs w:val="23"/>
          <w:rtl/>
        </w:rPr>
      </w:pPr>
      <w:r w:rsidRPr="009607ED">
        <w:rPr>
          <w:rFonts w:hint="cs"/>
          <w:sz w:val="23"/>
          <w:szCs w:val="23"/>
          <w:rtl/>
        </w:rPr>
        <w:t xml:space="preserve">ענו </w:t>
      </w:r>
      <w:r w:rsidRPr="009607ED">
        <w:rPr>
          <w:sz w:val="23"/>
          <w:szCs w:val="23"/>
          <w:rtl/>
        </w:rPr>
        <w:t xml:space="preserve">על </w:t>
      </w:r>
      <w:r w:rsidRPr="009607ED">
        <w:rPr>
          <w:b/>
          <w:bCs/>
          <w:sz w:val="23"/>
          <w:szCs w:val="23"/>
          <w:rtl/>
        </w:rPr>
        <w:t>שאלה אחת</w:t>
      </w:r>
      <w:r w:rsidRPr="009607ED">
        <w:rPr>
          <w:sz w:val="23"/>
          <w:szCs w:val="23"/>
          <w:rtl/>
        </w:rPr>
        <w:t xml:space="preserve"> מתוך השאלות הבאות:</w:t>
      </w:r>
    </w:p>
    <w:p w:rsidR="009607ED" w:rsidRPr="009607ED" w:rsidRDefault="009607ED" w:rsidP="009607ED">
      <w:pPr>
        <w:spacing w:line="276" w:lineRule="auto"/>
        <w:ind w:left="360"/>
        <w:rPr>
          <w:sz w:val="23"/>
          <w:szCs w:val="23"/>
        </w:rPr>
      </w:pPr>
    </w:p>
    <w:p w:rsidR="009607ED" w:rsidRPr="009607ED" w:rsidRDefault="009607ED" w:rsidP="009607ED">
      <w:pPr>
        <w:spacing w:line="276" w:lineRule="auto"/>
        <w:rPr>
          <w:sz w:val="23"/>
          <w:szCs w:val="23"/>
        </w:rPr>
      </w:pPr>
      <w:r w:rsidRPr="009607ED">
        <w:rPr>
          <w:rFonts w:hint="cs"/>
          <w:b/>
          <w:bCs/>
          <w:sz w:val="23"/>
          <w:szCs w:val="23"/>
          <w:rtl/>
        </w:rPr>
        <w:t>1.</w:t>
      </w:r>
      <w:r w:rsidRPr="009607ED">
        <w:rPr>
          <w:sz w:val="23"/>
          <w:szCs w:val="23"/>
          <w:rtl/>
        </w:rPr>
        <w:t xml:space="preserve"> קראו את מאמר</w:t>
      </w:r>
      <w:r w:rsidRPr="009607ED">
        <w:rPr>
          <w:rFonts w:hint="cs"/>
          <w:sz w:val="23"/>
          <w:szCs w:val="23"/>
          <w:rtl/>
        </w:rPr>
        <w:t>ו של צ'ארלס דארווין:</w:t>
      </w:r>
    </w:p>
    <w:p w:rsidR="009607ED" w:rsidRPr="009607ED" w:rsidRDefault="009607ED" w:rsidP="009607ED">
      <w:pPr>
        <w:autoSpaceDE w:val="0"/>
        <w:autoSpaceDN w:val="0"/>
        <w:bidi w:val="0"/>
        <w:adjustRightInd w:val="0"/>
        <w:spacing w:line="276" w:lineRule="auto"/>
        <w:jc w:val="both"/>
        <w:rPr>
          <w:b/>
          <w:bCs/>
          <w:sz w:val="23"/>
          <w:szCs w:val="23"/>
          <w:lang w:val="en-US"/>
        </w:rPr>
      </w:pPr>
      <w:r w:rsidRPr="009607ED">
        <w:rPr>
          <w:iCs/>
          <w:sz w:val="23"/>
          <w:szCs w:val="23"/>
        </w:rPr>
        <w:t xml:space="preserve">Darwin, Charles Robert. 1877. “A biographical Sketch of an Infant Mind”. </w:t>
      </w:r>
      <w:r w:rsidRPr="009607ED">
        <w:rPr>
          <w:i/>
          <w:sz w:val="23"/>
          <w:szCs w:val="23"/>
        </w:rPr>
        <w:t>A Quarterly Review of Psychology and Philosophy</w:t>
      </w:r>
      <w:r w:rsidRPr="009607ED">
        <w:rPr>
          <w:iCs/>
          <w:sz w:val="23"/>
          <w:szCs w:val="23"/>
        </w:rPr>
        <w:t xml:space="preserve"> 2 (7), 285-294.  </w:t>
      </w:r>
    </w:p>
    <w:p w:rsidR="009607ED" w:rsidRPr="009607ED" w:rsidRDefault="009607ED" w:rsidP="00F241FE">
      <w:pPr>
        <w:spacing w:line="276" w:lineRule="auto"/>
        <w:jc w:val="both"/>
        <w:rPr>
          <w:sz w:val="23"/>
          <w:szCs w:val="23"/>
        </w:rPr>
      </w:pPr>
      <w:r w:rsidRPr="009607ED">
        <w:rPr>
          <w:sz w:val="23"/>
          <w:szCs w:val="23"/>
          <w:rtl/>
        </w:rPr>
        <w:t xml:space="preserve">דונו באמצעותו בשאלת תפיסות </w:t>
      </w:r>
      <w:r w:rsidR="00F241FE">
        <w:rPr>
          <w:rFonts w:hint="cs"/>
          <w:sz w:val="23"/>
          <w:szCs w:val="23"/>
          <w:rtl/>
        </w:rPr>
        <w:t>ה</w:t>
      </w:r>
      <w:r w:rsidR="00F241FE" w:rsidRPr="00F241FE">
        <w:rPr>
          <w:sz w:val="23"/>
          <w:szCs w:val="23"/>
          <w:rtl/>
        </w:rPr>
        <w:t>ילד</w:t>
      </w:r>
      <w:r w:rsidR="00F241FE" w:rsidRPr="00F241FE">
        <w:rPr>
          <w:rFonts w:hint="cs"/>
          <w:sz w:val="23"/>
          <w:szCs w:val="23"/>
          <w:rtl/>
        </w:rPr>
        <w:t>וּ</w:t>
      </w:r>
      <w:r w:rsidR="00F241FE" w:rsidRPr="00F241FE">
        <w:rPr>
          <w:rFonts w:hint="eastAsia"/>
          <w:sz w:val="23"/>
          <w:szCs w:val="23"/>
          <w:rtl/>
        </w:rPr>
        <w:t>ת</w:t>
      </w:r>
      <w:r w:rsidRPr="009607ED">
        <w:rPr>
          <w:rFonts w:hint="cs"/>
          <w:sz w:val="23"/>
          <w:szCs w:val="23"/>
          <w:rtl/>
        </w:rPr>
        <w:t xml:space="preserve"> </w:t>
      </w:r>
      <w:r w:rsidRPr="009607ED">
        <w:rPr>
          <w:sz w:val="23"/>
          <w:szCs w:val="23"/>
          <w:rtl/>
        </w:rPr>
        <w:t xml:space="preserve">של </w:t>
      </w:r>
      <w:r w:rsidRPr="009607ED">
        <w:rPr>
          <w:rFonts w:hint="cs"/>
          <w:sz w:val="23"/>
          <w:szCs w:val="23"/>
          <w:rtl/>
        </w:rPr>
        <w:t xml:space="preserve">התקופה, ושאלת היחסים בין הורים לבין </w:t>
      </w:r>
      <w:r w:rsidRPr="009607ED">
        <w:rPr>
          <w:sz w:val="23"/>
          <w:szCs w:val="23"/>
          <w:rtl/>
        </w:rPr>
        <w:t>צאצאיהם, תוך התייחסות למאמרים שלמדתם בקורסים השונים (ש</w:t>
      </w:r>
      <w:r w:rsidRPr="009607ED">
        <w:rPr>
          <w:rFonts w:hint="cs"/>
          <w:sz w:val="23"/>
          <w:szCs w:val="23"/>
          <w:rtl/>
        </w:rPr>
        <w:t xml:space="preserve">ניים </w:t>
      </w:r>
      <w:r w:rsidRPr="009607ED">
        <w:rPr>
          <w:sz w:val="23"/>
          <w:szCs w:val="23"/>
          <w:rtl/>
        </w:rPr>
        <w:t xml:space="preserve">לפחות). </w:t>
      </w:r>
    </w:p>
    <w:p w:rsidR="009607ED" w:rsidRPr="009607ED" w:rsidRDefault="009607ED" w:rsidP="009607ED">
      <w:pPr>
        <w:spacing w:line="276" w:lineRule="auto"/>
        <w:jc w:val="both"/>
        <w:rPr>
          <w:sz w:val="23"/>
          <w:szCs w:val="23"/>
          <w:rtl/>
        </w:rPr>
      </w:pPr>
    </w:p>
    <w:p w:rsidR="009607ED" w:rsidRPr="009607ED" w:rsidRDefault="009607ED" w:rsidP="009607ED">
      <w:pPr>
        <w:spacing w:line="276" w:lineRule="auto"/>
        <w:rPr>
          <w:sz w:val="23"/>
          <w:szCs w:val="23"/>
          <w:rtl/>
        </w:rPr>
      </w:pPr>
      <w:r w:rsidRPr="009607ED">
        <w:rPr>
          <w:rFonts w:hint="cs"/>
          <w:b/>
          <w:bCs/>
          <w:sz w:val="23"/>
          <w:szCs w:val="23"/>
          <w:rtl/>
          <w:lang w:val="en-US"/>
        </w:rPr>
        <w:t>2.</w:t>
      </w:r>
      <w:r w:rsidRPr="009607ED">
        <w:rPr>
          <w:rFonts w:hint="cs"/>
          <w:b/>
          <w:bCs/>
          <w:sz w:val="23"/>
          <w:szCs w:val="23"/>
          <w:rtl/>
        </w:rPr>
        <w:t xml:space="preserve"> </w:t>
      </w:r>
      <w:r w:rsidRPr="009607ED">
        <w:rPr>
          <w:rFonts w:hint="cs"/>
          <w:sz w:val="23"/>
          <w:szCs w:val="23"/>
          <w:rtl/>
        </w:rPr>
        <w:t xml:space="preserve">קראו את מאמרה של אן אוקלי: </w:t>
      </w:r>
    </w:p>
    <w:p w:rsidR="009607ED" w:rsidRPr="009607ED" w:rsidRDefault="009607ED" w:rsidP="008F10F2">
      <w:pPr>
        <w:autoSpaceDE w:val="0"/>
        <w:autoSpaceDN w:val="0"/>
        <w:bidi w:val="0"/>
        <w:adjustRightInd w:val="0"/>
        <w:spacing w:line="276" w:lineRule="auto"/>
        <w:jc w:val="both"/>
        <w:rPr>
          <w:iCs/>
          <w:sz w:val="23"/>
          <w:szCs w:val="23"/>
          <w:lang w:val="en-GB"/>
        </w:rPr>
      </w:pPr>
      <w:r w:rsidRPr="009607ED">
        <w:rPr>
          <w:sz w:val="23"/>
          <w:szCs w:val="23"/>
          <w:lang w:val="en-US"/>
        </w:rPr>
        <w:t>Oakley,</w:t>
      </w:r>
      <w:r w:rsidRPr="009607ED">
        <w:rPr>
          <w:iCs/>
          <w:sz w:val="23"/>
          <w:szCs w:val="23"/>
        </w:rPr>
        <w:t xml:space="preserve"> </w:t>
      </w:r>
      <w:r w:rsidRPr="009607ED">
        <w:rPr>
          <w:sz w:val="23"/>
          <w:szCs w:val="23"/>
          <w:lang w:val="en-US"/>
        </w:rPr>
        <w:t>Ann. 1994.</w:t>
      </w:r>
      <w:r w:rsidRPr="009607ED">
        <w:rPr>
          <w:iCs/>
          <w:sz w:val="23"/>
          <w:szCs w:val="23"/>
        </w:rPr>
        <w:t xml:space="preserve"> "Women and children first and last: parallels and differences between children's and women's studies". In Berry Mayall (ed.) </w:t>
      </w:r>
      <w:r w:rsidRPr="009607ED">
        <w:rPr>
          <w:i/>
          <w:sz w:val="23"/>
          <w:szCs w:val="23"/>
        </w:rPr>
        <w:t>Children's Childhoods:</w:t>
      </w:r>
      <w:r w:rsidR="00F241FE">
        <w:rPr>
          <w:i/>
          <w:sz w:val="23"/>
          <w:szCs w:val="23"/>
        </w:rPr>
        <w:t xml:space="preserve"> </w:t>
      </w:r>
      <w:r w:rsidRPr="009607ED">
        <w:rPr>
          <w:i/>
          <w:sz w:val="23"/>
          <w:szCs w:val="23"/>
        </w:rPr>
        <w:t>Observed and Experienced</w:t>
      </w:r>
      <w:r w:rsidRPr="009607ED">
        <w:rPr>
          <w:iCs/>
          <w:sz w:val="23"/>
          <w:szCs w:val="23"/>
        </w:rPr>
        <w:t>. London and Washington D.C.</w:t>
      </w:r>
      <w:r w:rsidR="008F10F2">
        <w:rPr>
          <w:iCs/>
          <w:sz w:val="23"/>
          <w:szCs w:val="23"/>
        </w:rPr>
        <w:t> :</w:t>
      </w:r>
      <w:r w:rsidRPr="009607ED">
        <w:rPr>
          <w:iCs/>
          <w:sz w:val="23"/>
          <w:szCs w:val="23"/>
        </w:rPr>
        <w:t xml:space="preserve"> The Falmer Press, pp. 13-32.</w:t>
      </w:r>
    </w:p>
    <w:p w:rsidR="009607ED" w:rsidRPr="009607ED" w:rsidRDefault="009607ED" w:rsidP="009607ED">
      <w:pPr>
        <w:spacing w:line="276" w:lineRule="auto"/>
        <w:jc w:val="both"/>
        <w:rPr>
          <w:sz w:val="23"/>
          <w:szCs w:val="23"/>
          <w:rtl/>
        </w:rPr>
      </w:pPr>
      <w:r w:rsidRPr="009607ED">
        <w:rPr>
          <w:rFonts w:hint="cs"/>
          <w:sz w:val="23"/>
          <w:szCs w:val="23"/>
          <w:rtl/>
        </w:rPr>
        <w:t xml:space="preserve">דונו בסוגיות המרכזיות העולות במאמר תוך התייחסות למאמרים שלמדתם בקורסים השונים (שניים לפחות).   </w:t>
      </w:r>
    </w:p>
    <w:p w:rsidR="009607ED" w:rsidRPr="009607ED" w:rsidRDefault="009607ED" w:rsidP="009607ED">
      <w:pPr>
        <w:spacing w:line="276" w:lineRule="auto"/>
        <w:rPr>
          <w:sz w:val="23"/>
          <w:szCs w:val="23"/>
          <w:rtl/>
        </w:rPr>
      </w:pPr>
    </w:p>
    <w:p w:rsidR="009607ED" w:rsidRPr="009607ED" w:rsidRDefault="009607ED" w:rsidP="009607ED">
      <w:pPr>
        <w:spacing w:line="276" w:lineRule="auto"/>
        <w:rPr>
          <w:rFonts w:asciiTheme="majorBidi" w:hAnsiTheme="majorBidi" w:cstheme="majorBidi"/>
          <w:sz w:val="23"/>
          <w:szCs w:val="23"/>
        </w:rPr>
      </w:pPr>
      <w:r w:rsidRPr="009607ED">
        <w:rPr>
          <w:rFonts w:hint="cs"/>
          <w:b/>
          <w:bCs/>
          <w:sz w:val="23"/>
          <w:szCs w:val="23"/>
          <w:rtl/>
        </w:rPr>
        <w:t>3</w:t>
      </w:r>
      <w:r w:rsidRPr="009607ED">
        <w:rPr>
          <w:b/>
          <w:bCs/>
          <w:sz w:val="23"/>
          <w:szCs w:val="23"/>
          <w:rtl/>
        </w:rPr>
        <w:t>.</w:t>
      </w:r>
      <w:r w:rsidRPr="009607ED">
        <w:rPr>
          <w:sz w:val="23"/>
          <w:szCs w:val="23"/>
          <w:rtl/>
        </w:rPr>
        <w:t xml:space="preserve"> </w:t>
      </w:r>
      <w:r w:rsidRPr="009607ED">
        <w:rPr>
          <w:rFonts w:asciiTheme="majorBidi" w:hAnsiTheme="majorBidi" w:cstheme="majorBidi"/>
          <w:sz w:val="23"/>
          <w:szCs w:val="23"/>
          <w:rtl/>
        </w:rPr>
        <w:t xml:space="preserve">קיראו את הסעיפים </w:t>
      </w:r>
      <w:r w:rsidRPr="009607ED">
        <w:rPr>
          <w:rFonts w:asciiTheme="majorBidi" w:hAnsiTheme="majorBidi" w:cstheme="majorBidi"/>
          <w:sz w:val="23"/>
          <w:szCs w:val="23"/>
        </w:rPr>
        <w:t xml:space="preserve"> 54-1</w:t>
      </w:r>
      <w:r w:rsidRPr="009607ED">
        <w:rPr>
          <w:rFonts w:asciiTheme="majorBidi" w:hAnsiTheme="majorBidi" w:cstheme="majorBidi"/>
          <w:sz w:val="23"/>
          <w:szCs w:val="23"/>
          <w:rtl/>
        </w:rPr>
        <w:t>ו-</w:t>
      </w:r>
      <w:r w:rsidRPr="009607ED">
        <w:rPr>
          <w:rFonts w:asciiTheme="majorBidi" w:hAnsiTheme="majorBidi" w:cstheme="majorBidi"/>
          <w:sz w:val="23"/>
          <w:szCs w:val="23"/>
        </w:rPr>
        <w:t>86-83</w:t>
      </w:r>
      <w:r w:rsidRPr="009607ED">
        <w:rPr>
          <w:rFonts w:asciiTheme="majorBidi" w:hAnsiTheme="majorBidi" w:cstheme="majorBidi"/>
          <w:sz w:val="23"/>
          <w:szCs w:val="23"/>
          <w:rtl/>
        </w:rPr>
        <w:t xml:space="preserve"> בספרו של </w:t>
      </w:r>
      <w:r w:rsidRPr="009607ED">
        <w:rPr>
          <w:rFonts w:asciiTheme="majorBidi" w:hAnsiTheme="majorBidi" w:cstheme="majorBidi" w:hint="cs"/>
          <w:sz w:val="23"/>
          <w:szCs w:val="23"/>
          <w:rtl/>
          <w:lang w:bidi="yi-Hebr"/>
        </w:rPr>
        <w:t>ג'ון לוק</w:t>
      </w:r>
      <w:r w:rsidRPr="009607ED">
        <w:rPr>
          <w:rFonts w:asciiTheme="majorBidi" w:hAnsiTheme="majorBidi" w:cstheme="majorBidi" w:hint="cs"/>
          <w:sz w:val="23"/>
          <w:szCs w:val="23"/>
          <w:rtl/>
        </w:rPr>
        <w:t>:</w:t>
      </w:r>
      <w:r w:rsidRPr="009607ED">
        <w:rPr>
          <w:rFonts w:asciiTheme="majorBidi" w:hAnsiTheme="majorBidi" w:cstheme="majorBidi"/>
          <w:sz w:val="23"/>
          <w:szCs w:val="23"/>
          <w:rtl/>
        </w:rPr>
        <w:t xml:space="preserve"> </w:t>
      </w:r>
    </w:p>
    <w:p w:rsidR="009607ED" w:rsidRPr="009607ED" w:rsidRDefault="009607ED" w:rsidP="009607ED">
      <w:pPr>
        <w:autoSpaceDE w:val="0"/>
        <w:autoSpaceDN w:val="0"/>
        <w:bidi w:val="0"/>
        <w:adjustRightInd w:val="0"/>
        <w:spacing w:line="276" w:lineRule="auto"/>
        <w:jc w:val="both"/>
        <w:rPr>
          <w:iCs/>
          <w:sz w:val="23"/>
          <w:szCs w:val="23"/>
          <w:lang w:val="en-GB"/>
        </w:rPr>
      </w:pPr>
      <w:r w:rsidRPr="009607ED">
        <w:rPr>
          <w:iCs/>
          <w:sz w:val="23"/>
          <w:szCs w:val="23"/>
          <w:lang w:val="en-GB"/>
        </w:rPr>
        <w:t xml:space="preserve">Locke, John. [1693] 2007. </w:t>
      </w:r>
      <w:r w:rsidRPr="00F241FE">
        <w:rPr>
          <w:i/>
          <w:sz w:val="23"/>
          <w:szCs w:val="23"/>
          <w:lang w:val="en-GB"/>
        </w:rPr>
        <w:t>Some Thoughts Concerning Education</w:t>
      </w:r>
      <w:r w:rsidRPr="009607ED">
        <w:rPr>
          <w:iCs/>
          <w:sz w:val="23"/>
          <w:szCs w:val="23"/>
          <w:lang w:val="en-GB"/>
        </w:rPr>
        <w:t>. Mineola, N.Y: Dover Pub., 25-39; 66-68.</w:t>
      </w:r>
    </w:p>
    <w:p w:rsidR="009607ED" w:rsidRPr="009607ED" w:rsidRDefault="009607ED" w:rsidP="009607ED">
      <w:pPr>
        <w:spacing w:line="276" w:lineRule="auto"/>
        <w:ind w:left="4" w:firstLine="10"/>
        <w:jc w:val="both"/>
        <w:rPr>
          <w:sz w:val="23"/>
          <w:szCs w:val="23"/>
          <w:rtl/>
        </w:rPr>
      </w:pPr>
      <w:r w:rsidRPr="009607ED">
        <w:rPr>
          <w:rFonts w:hint="cs"/>
          <w:sz w:val="23"/>
          <w:szCs w:val="23"/>
          <w:rtl/>
        </w:rPr>
        <w:t xml:space="preserve">המוקדשים לדיון בהיבטים הפיסיים של גידול ילדים והשימוש בענישה פיסית. עשו שימוש ברעיונות ובמושגים העולים בטקסט זה לדיון במקרה מבחן אקטואלי. התייחסו בתשובתכם למאמרים רלוונטיים נוספים (אחד לפחות) שלמדתם בקורסים השונים. </w:t>
      </w:r>
    </w:p>
    <w:p w:rsidR="009607ED" w:rsidRPr="009607ED" w:rsidRDefault="009607ED" w:rsidP="009607ED">
      <w:pPr>
        <w:spacing w:line="276" w:lineRule="auto"/>
        <w:rPr>
          <w:sz w:val="23"/>
          <w:szCs w:val="23"/>
          <w:rtl/>
        </w:rPr>
      </w:pPr>
    </w:p>
    <w:p w:rsidR="009607ED" w:rsidRPr="009607ED" w:rsidRDefault="009607ED" w:rsidP="009607ED">
      <w:pPr>
        <w:spacing w:line="276" w:lineRule="auto"/>
        <w:ind w:left="4" w:firstLine="10"/>
        <w:jc w:val="both"/>
        <w:rPr>
          <w:sz w:val="23"/>
          <w:szCs w:val="23"/>
          <w:rtl/>
        </w:rPr>
      </w:pPr>
      <w:r w:rsidRPr="009607ED">
        <w:rPr>
          <w:rFonts w:hint="cs"/>
          <w:b/>
          <w:bCs/>
          <w:sz w:val="23"/>
          <w:szCs w:val="23"/>
          <w:rtl/>
        </w:rPr>
        <w:t>4.</w:t>
      </w:r>
      <w:r w:rsidRPr="009607ED">
        <w:rPr>
          <w:rFonts w:hint="cs"/>
          <w:sz w:val="23"/>
          <w:szCs w:val="23"/>
          <w:rtl/>
        </w:rPr>
        <w:t xml:space="preserve"> דיון בטקסי ילד</w:t>
      </w:r>
      <w:r w:rsidRPr="009607ED">
        <w:rPr>
          <w:sz w:val="23"/>
          <w:szCs w:val="23"/>
          <w:rtl/>
        </w:rPr>
        <w:t>וּ</w:t>
      </w:r>
      <w:r w:rsidRPr="009607ED">
        <w:rPr>
          <w:rFonts w:hint="cs"/>
          <w:sz w:val="23"/>
          <w:szCs w:val="23"/>
          <w:rtl/>
        </w:rPr>
        <w:t>ת בהקשר מגדרי עומד במרכז המאמר הבא:</w:t>
      </w:r>
    </w:p>
    <w:p w:rsidR="009607ED" w:rsidRPr="009607ED" w:rsidRDefault="009607ED" w:rsidP="009607ED">
      <w:pPr>
        <w:spacing w:line="276" w:lineRule="auto"/>
        <w:ind w:left="4" w:firstLine="10"/>
        <w:jc w:val="both"/>
        <w:rPr>
          <w:sz w:val="23"/>
          <w:szCs w:val="23"/>
          <w:rtl/>
        </w:rPr>
      </w:pPr>
      <w:r w:rsidRPr="009607ED">
        <w:rPr>
          <w:rFonts w:hint="cs"/>
          <w:sz w:val="23"/>
          <w:szCs w:val="23"/>
          <w:rtl/>
        </w:rPr>
        <w:t>בילו, יורם. תש"ס. "מ</w:t>
      </w:r>
      <w:r w:rsidRPr="009607ED">
        <w:rPr>
          <w:sz w:val="23"/>
          <w:szCs w:val="23"/>
          <w:rtl/>
        </w:rPr>
        <w:t>מילה למל</w:t>
      </w:r>
      <w:r w:rsidRPr="009607ED">
        <w:rPr>
          <w:rFonts w:hint="cs"/>
          <w:sz w:val="23"/>
          <w:szCs w:val="23"/>
          <w:rtl/>
        </w:rPr>
        <w:t xml:space="preserve">ה: </w:t>
      </w:r>
      <w:r w:rsidRPr="009607ED">
        <w:rPr>
          <w:sz w:val="23"/>
          <w:szCs w:val="23"/>
          <w:rtl/>
        </w:rPr>
        <w:t>ניתוח פסיכו-תרבותי של הבניית זהות גברית בטקסי ילדות בחברה החרדי</w:t>
      </w:r>
      <w:r w:rsidRPr="009607ED">
        <w:rPr>
          <w:rFonts w:hint="cs"/>
          <w:sz w:val="23"/>
          <w:szCs w:val="23"/>
          <w:rtl/>
        </w:rPr>
        <w:t xml:space="preserve">". </w:t>
      </w:r>
      <w:r w:rsidRPr="009607ED">
        <w:rPr>
          <w:b/>
          <w:bCs/>
          <w:sz w:val="23"/>
          <w:szCs w:val="23"/>
          <w:rtl/>
        </w:rPr>
        <w:t>אלפיים</w:t>
      </w:r>
      <w:r w:rsidRPr="009607ED">
        <w:rPr>
          <w:rFonts w:hint="cs"/>
          <w:sz w:val="23"/>
          <w:szCs w:val="23"/>
          <w:rtl/>
        </w:rPr>
        <w:t xml:space="preserve"> </w:t>
      </w:r>
      <w:r w:rsidRPr="009607ED">
        <w:rPr>
          <w:sz w:val="23"/>
          <w:szCs w:val="23"/>
          <w:rtl/>
        </w:rPr>
        <w:t>19</w:t>
      </w:r>
      <w:r w:rsidRPr="009607ED">
        <w:rPr>
          <w:rFonts w:hint="cs"/>
          <w:sz w:val="23"/>
          <w:szCs w:val="23"/>
          <w:rtl/>
        </w:rPr>
        <w:t xml:space="preserve">, 46-16. </w:t>
      </w:r>
    </w:p>
    <w:p w:rsidR="009607ED" w:rsidRPr="009607ED" w:rsidRDefault="009607ED" w:rsidP="009607ED">
      <w:pPr>
        <w:spacing w:line="276" w:lineRule="auto"/>
        <w:ind w:left="4" w:firstLine="10"/>
        <w:jc w:val="both"/>
        <w:rPr>
          <w:sz w:val="23"/>
          <w:szCs w:val="23"/>
          <w:rtl/>
        </w:rPr>
      </w:pPr>
      <w:r w:rsidRPr="009607ED">
        <w:rPr>
          <w:rFonts w:hint="cs"/>
          <w:sz w:val="23"/>
          <w:szCs w:val="23"/>
          <w:rtl/>
        </w:rPr>
        <w:t xml:space="preserve">דונו במאמר זה תוך קישורו לשני </w:t>
      </w:r>
      <w:r w:rsidRPr="009607ED">
        <w:rPr>
          <w:rFonts w:eastAsia="Code2000" w:hint="cs"/>
          <w:sz w:val="23"/>
          <w:szCs w:val="23"/>
          <w:rtl/>
        </w:rPr>
        <w:t>מקרי מבחן אקטואליים של ט</w:t>
      </w:r>
      <w:r w:rsidRPr="009607ED">
        <w:rPr>
          <w:rFonts w:hint="cs"/>
          <w:sz w:val="23"/>
          <w:szCs w:val="23"/>
          <w:rtl/>
        </w:rPr>
        <w:t>קסי ילד</w:t>
      </w:r>
      <w:r w:rsidRPr="009607ED">
        <w:rPr>
          <w:sz w:val="23"/>
          <w:szCs w:val="23"/>
          <w:rtl/>
        </w:rPr>
        <w:t>וּ</w:t>
      </w:r>
      <w:r w:rsidRPr="009607ED">
        <w:rPr>
          <w:rFonts w:hint="cs"/>
          <w:sz w:val="23"/>
          <w:szCs w:val="23"/>
          <w:rtl/>
        </w:rPr>
        <w:t>ת בהקשר מגדרי</w:t>
      </w:r>
      <w:r w:rsidRPr="009607ED">
        <w:rPr>
          <w:rFonts w:eastAsia="Code2000" w:hint="cs"/>
          <w:sz w:val="23"/>
          <w:szCs w:val="23"/>
          <w:rtl/>
        </w:rPr>
        <w:t>.</w:t>
      </w:r>
    </w:p>
    <w:p w:rsidR="009607ED" w:rsidRPr="009607ED" w:rsidRDefault="009607ED" w:rsidP="009607ED">
      <w:pPr>
        <w:spacing w:line="276" w:lineRule="auto"/>
        <w:ind w:left="4" w:firstLine="10"/>
        <w:rPr>
          <w:sz w:val="23"/>
          <w:szCs w:val="23"/>
          <w:rtl/>
        </w:rPr>
      </w:pPr>
    </w:p>
    <w:p w:rsidR="009607ED" w:rsidRPr="009607ED" w:rsidRDefault="009607ED" w:rsidP="009607ED">
      <w:pPr>
        <w:spacing w:line="276" w:lineRule="auto"/>
        <w:ind w:left="4" w:firstLine="10"/>
        <w:rPr>
          <w:sz w:val="23"/>
          <w:szCs w:val="23"/>
          <w:rtl/>
        </w:rPr>
      </w:pPr>
      <w:r w:rsidRPr="009607ED">
        <w:rPr>
          <w:rFonts w:hint="cs"/>
          <w:b/>
          <w:bCs/>
          <w:sz w:val="23"/>
          <w:szCs w:val="23"/>
          <w:rtl/>
        </w:rPr>
        <w:t xml:space="preserve">5. </w:t>
      </w:r>
      <w:r w:rsidRPr="009607ED">
        <w:rPr>
          <w:rFonts w:hint="cs"/>
          <w:sz w:val="23"/>
          <w:szCs w:val="23"/>
          <w:rtl/>
        </w:rPr>
        <w:t>קראו את מאמרה של אילנה קראוזמן בן-עמוס:</w:t>
      </w:r>
    </w:p>
    <w:p w:rsidR="009607ED" w:rsidRPr="009607ED" w:rsidRDefault="009607ED" w:rsidP="009607ED">
      <w:pPr>
        <w:spacing w:line="276" w:lineRule="auto"/>
        <w:ind w:left="4" w:firstLine="10"/>
        <w:jc w:val="both"/>
        <w:rPr>
          <w:sz w:val="23"/>
          <w:szCs w:val="23"/>
          <w:rtl/>
        </w:rPr>
      </w:pPr>
      <w:r w:rsidRPr="009607ED">
        <w:rPr>
          <w:rFonts w:hint="cs"/>
          <w:sz w:val="23"/>
          <w:szCs w:val="23"/>
          <w:rtl/>
        </w:rPr>
        <w:t>קראוזמן בן-עמוס, אילנה. תש"ס. "</w:t>
      </w:r>
      <w:r w:rsidRPr="009607ED">
        <w:rPr>
          <w:rFonts w:ascii="Arial" w:hAnsi="Arial"/>
          <w:sz w:val="23"/>
          <w:szCs w:val="23"/>
          <w:rtl/>
        </w:rPr>
        <w:t>נעורים ומודרניות: התזה של פיליפ אריאס</w:t>
      </w:r>
      <w:r w:rsidRPr="009607ED">
        <w:rPr>
          <w:rFonts w:ascii="Arial" w:hAnsi="Arial" w:hint="cs"/>
          <w:sz w:val="23"/>
          <w:szCs w:val="23"/>
          <w:rtl/>
        </w:rPr>
        <w:t>"</w:t>
      </w:r>
      <w:r w:rsidRPr="009607ED">
        <w:rPr>
          <w:rFonts w:ascii="Arial" w:hAnsi="Arial"/>
          <w:sz w:val="23"/>
          <w:szCs w:val="23"/>
          <w:rtl/>
        </w:rPr>
        <w:t xml:space="preserve">. </w:t>
      </w:r>
      <w:r w:rsidRPr="009607ED">
        <w:rPr>
          <w:rFonts w:ascii="Arial" w:hAnsi="Arial"/>
          <w:b/>
          <w:bCs/>
          <w:sz w:val="23"/>
          <w:szCs w:val="23"/>
          <w:rtl/>
        </w:rPr>
        <w:t xml:space="preserve">זמנים </w:t>
      </w:r>
      <w:r w:rsidRPr="009607ED">
        <w:rPr>
          <w:rFonts w:ascii="Arial" w:hAnsi="Arial"/>
          <w:sz w:val="23"/>
          <w:szCs w:val="23"/>
          <w:rtl/>
        </w:rPr>
        <w:t>52, 48-41.</w:t>
      </w:r>
      <w:r w:rsidRPr="009607ED">
        <w:rPr>
          <w:rFonts w:hint="cs"/>
          <w:sz w:val="23"/>
          <w:szCs w:val="23"/>
          <w:rtl/>
        </w:rPr>
        <w:t xml:space="preserve"> </w:t>
      </w:r>
    </w:p>
    <w:p w:rsidR="009607ED" w:rsidRPr="009607ED" w:rsidRDefault="009607ED" w:rsidP="009607ED">
      <w:pPr>
        <w:spacing w:line="276" w:lineRule="auto"/>
        <w:ind w:left="4" w:firstLine="10"/>
        <w:jc w:val="both"/>
        <w:rPr>
          <w:sz w:val="23"/>
          <w:szCs w:val="23"/>
          <w:rtl/>
        </w:rPr>
      </w:pPr>
      <w:r w:rsidRPr="009607ED">
        <w:rPr>
          <w:rFonts w:hint="cs"/>
          <w:sz w:val="23"/>
          <w:szCs w:val="23"/>
          <w:rtl/>
        </w:rPr>
        <w:t xml:space="preserve">הסבירו את המודל שמציעה קראוזמן בן-עמוס לניתוח תהליך הנעורים וההתבגרות, ועמדו על ההבדלים בינו לבין ניתוח תקופת חיים זו על ידי אריאס וחוקרים אחרים המוזכרים במאמר. עשו שימוש בפרמטרים שאליהם מתייחסת קראוזמן בן-עמוס בניתוח הנעורים וההתבגרות של ברלו לדיון בנעורים והתבגרות בני זמננו.  </w:t>
      </w:r>
    </w:p>
    <w:p w:rsidR="00BC755A" w:rsidRDefault="00BC755A" w:rsidP="009607ED">
      <w:pPr>
        <w:spacing w:line="276" w:lineRule="auto"/>
        <w:rPr>
          <w:b/>
          <w:bCs/>
          <w:sz w:val="23"/>
          <w:szCs w:val="23"/>
          <w:rtl/>
        </w:rPr>
      </w:pPr>
    </w:p>
    <w:p w:rsidR="009607ED" w:rsidRPr="009607ED" w:rsidRDefault="009607ED" w:rsidP="009607ED">
      <w:pPr>
        <w:spacing w:line="276" w:lineRule="auto"/>
        <w:rPr>
          <w:sz w:val="23"/>
          <w:szCs w:val="23"/>
        </w:rPr>
      </w:pPr>
      <w:r w:rsidRPr="009607ED">
        <w:rPr>
          <w:rFonts w:hint="cs"/>
          <w:b/>
          <w:bCs/>
          <w:sz w:val="23"/>
          <w:szCs w:val="23"/>
          <w:rtl/>
        </w:rPr>
        <w:t>6.</w:t>
      </w:r>
      <w:r w:rsidRPr="009607ED">
        <w:rPr>
          <w:rFonts w:hint="cs"/>
          <w:sz w:val="23"/>
          <w:szCs w:val="23"/>
          <w:rtl/>
        </w:rPr>
        <w:t xml:space="preserve"> קראו את המאמר של מארא גובר: </w:t>
      </w:r>
    </w:p>
    <w:p w:rsidR="009607ED" w:rsidRPr="009607ED" w:rsidRDefault="009607ED" w:rsidP="009607ED">
      <w:pPr>
        <w:autoSpaceDE w:val="0"/>
        <w:autoSpaceDN w:val="0"/>
        <w:bidi w:val="0"/>
        <w:adjustRightInd w:val="0"/>
        <w:spacing w:line="276" w:lineRule="auto"/>
        <w:jc w:val="both"/>
        <w:rPr>
          <w:iCs/>
          <w:sz w:val="23"/>
          <w:szCs w:val="23"/>
          <w:lang w:val="en-GB"/>
        </w:rPr>
      </w:pPr>
      <w:r w:rsidRPr="009607ED">
        <w:rPr>
          <w:iCs/>
          <w:sz w:val="23"/>
          <w:szCs w:val="23"/>
          <w:lang w:val="en-GB"/>
        </w:rPr>
        <w:t xml:space="preserve">Gubar, Marah. 2016. “The Hermeneutics of Recuperation: What a Kinship-Modle Approach to Children’s Agency Could Do for Children’s Literature and Childhood Studies”. </w:t>
      </w:r>
      <w:r w:rsidRPr="00F241FE">
        <w:rPr>
          <w:i/>
          <w:sz w:val="23"/>
          <w:szCs w:val="23"/>
          <w:lang w:val="en-GB"/>
        </w:rPr>
        <w:t>Jeunesse: Young People, Texts, Cultures</w:t>
      </w:r>
      <w:r w:rsidRPr="009607ED">
        <w:rPr>
          <w:iCs/>
          <w:sz w:val="23"/>
          <w:szCs w:val="23"/>
          <w:lang w:val="en-GB"/>
        </w:rPr>
        <w:t xml:space="preserve"> 8 (1), 291-310.</w:t>
      </w:r>
    </w:p>
    <w:p w:rsidR="009607ED" w:rsidRPr="009607ED" w:rsidRDefault="009607ED" w:rsidP="007B12D7">
      <w:pPr>
        <w:spacing w:line="276" w:lineRule="auto"/>
        <w:jc w:val="both"/>
        <w:rPr>
          <w:sz w:val="23"/>
          <w:szCs w:val="23"/>
          <w:rtl/>
          <w:lang w:val="en-US"/>
        </w:rPr>
      </w:pPr>
      <w:r w:rsidRPr="009607ED">
        <w:rPr>
          <w:rFonts w:hint="cs"/>
          <w:sz w:val="23"/>
          <w:szCs w:val="23"/>
          <w:rtl/>
          <w:lang w:val="en-US"/>
        </w:rPr>
        <w:t>דונו ביחס בין הגדרת המושג "</w:t>
      </w:r>
      <w:r w:rsidR="007B12D7" w:rsidRPr="007B12D7">
        <w:rPr>
          <w:sz w:val="23"/>
          <w:szCs w:val="23"/>
          <w:rtl/>
          <w:lang w:val="en-US"/>
        </w:rPr>
        <w:t>ילד</w:t>
      </w:r>
      <w:r w:rsidR="007B12D7" w:rsidRPr="007B12D7">
        <w:rPr>
          <w:rFonts w:hint="cs"/>
          <w:sz w:val="23"/>
          <w:szCs w:val="23"/>
          <w:rtl/>
          <w:lang w:val="en-US"/>
        </w:rPr>
        <w:t>וּ</w:t>
      </w:r>
      <w:r w:rsidR="007B12D7" w:rsidRPr="007B12D7">
        <w:rPr>
          <w:rFonts w:hint="eastAsia"/>
          <w:sz w:val="23"/>
          <w:szCs w:val="23"/>
          <w:rtl/>
          <w:lang w:val="en-US"/>
        </w:rPr>
        <w:t>ת</w:t>
      </w:r>
      <w:r w:rsidRPr="009607ED">
        <w:rPr>
          <w:rFonts w:hint="cs"/>
          <w:sz w:val="23"/>
          <w:szCs w:val="23"/>
          <w:rtl/>
          <w:lang w:val="en-US"/>
        </w:rPr>
        <w:t xml:space="preserve">" לבין המושג "סוכנות" </w:t>
      </w:r>
      <w:r w:rsidRPr="009607ED">
        <w:rPr>
          <w:sz w:val="23"/>
          <w:szCs w:val="23"/>
          <w:lang w:val="en-US"/>
        </w:rPr>
        <w:t>(agency)</w:t>
      </w:r>
      <w:r w:rsidRPr="009607ED">
        <w:rPr>
          <w:rFonts w:hint="cs"/>
          <w:sz w:val="23"/>
          <w:szCs w:val="23"/>
          <w:rtl/>
          <w:lang w:val="en-US"/>
        </w:rPr>
        <w:t xml:space="preserve"> כפי שהוא מוצג במאמר. בחרו שני מקרי מבחן מספרות הילדים או מהתרבות הפופולרית והראו כיצד הם מציגים את שאלת הסוכנות של ילדים.</w:t>
      </w:r>
    </w:p>
    <w:p w:rsidR="009607ED" w:rsidRPr="009607ED" w:rsidRDefault="009607ED" w:rsidP="009607ED">
      <w:pPr>
        <w:spacing w:line="276" w:lineRule="auto"/>
        <w:ind w:left="4" w:firstLine="10"/>
        <w:rPr>
          <w:sz w:val="23"/>
          <w:szCs w:val="23"/>
          <w:rtl/>
        </w:rPr>
      </w:pPr>
    </w:p>
    <w:p w:rsidR="009607ED" w:rsidRPr="007B12D7" w:rsidRDefault="009607ED" w:rsidP="009607ED">
      <w:pPr>
        <w:spacing w:line="276" w:lineRule="auto"/>
        <w:rPr>
          <w:sz w:val="23"/>
          <w:szCs w:val="23"/>
          <w:rtl/>
        </w:rPr>
      </w:pPr>
      <w:r w:rsidRPr="009607ED">
        <w:rPr>
          <w:b/>
          <w:bCs/>
          <w:sz w:val="23"/>
          <w:szCs w:val="23"/>
          <w:rtl/>
        </w:rPr>
        <w:t xml:space="preserve">תאריך ההגשה: </w:t>
      </w:r>
      <w:r w:rsidRPr="007B12D7">
        <w:rPr>
          <w:sz w:val="23"/>
          <w:szCs w:val="23"/>
          <w:rtl/>
        </w:rPr>
        <w:t>חודש לאחר שקיבלו התלמידים את השאלה לחלק ב'.</w:t>
      </w:r>
      <w:r w:rsidRPr="007B12D7">
        <w:rPr>
          <w:rFonts w:hint="cs"/>
          <w:sz w:val="23"/>
          <w:szCs w:val="23"/>
          <w:rtl/>
        </w:rPr>
        <w:t xml:space="preserve"> </w:t>
      </w:r>
    </w:p>
    <w:p w:rsidR="009607ED" w:rsidRPr="007B12D7" w:rsidRDefault="009607ED" w:rsidP="009607ED">
      <w:pPr>
        <w:spacing w:line="276" w:lineRule="auto"/>
        <w:rPr>
          <w:sz w:val="23"/>
          <w:szCs w:val="23"/>
          <w:rtl/>
        </w:rPr>
      </w:pPr>
      <w:r w:rsidRPr="009607ED">
        <w:rPr>
          <w:b/>
          <w:bCs/>
          <w:sz w:val="23"/>
          <w:szCs w:val="23"/>
          <w:rtl/>
        </w:rPr>
        <w:t xml:space="preserve">תאריך קבלת ציון: </w:t>
      </w:r>
      <w:r w:rsidRPr="007B12D7">
        <w:rPr>
          <w:sz w:val="23"/>
          <w:szCs w:val="23"/>
          <w:rtl/>
        </w:rPr>
        <w:t>עד חודש לאחר ההגשה.</w:t>
      </w:r>
    </w:p>
    <w:p w:rsidR="005540A2" w:rsidRDefault="009607ED" w:rsidP="009607ED">
      <w:pPr>
        <w:spacing w:line="276" w:lineRule="auto"/>
        <w:rPr>
          <w:sz w:val="23"/>
          <w:szCs w:val="23"/>
          <w:lang w:val="en-US"/>
        </w:rPr>
      </w:pPr>
      <w:r w:rsidRPr="009607ED">
        <w:rPr>
          <w:b/>
          <w:bCs/>
          <w:sz w:val="23"/>
          <w:szCs w:val="23"/>
          <w:rtl/>
        </w:rPr>
        <w:t>אורך התשובה:</w:t>
      </w:r>
      <w:r w:rsidRPr="009607ED">
        <w:rPr>
          <w:sz w:val="23"/>
          <w:szCs w:val="23"/>
          <w:rtl/>
        </w:rPr>
        <w:t xml:space="preserve"> </w:t>
      </w:r>
      <w:r w:rsidRPr="009607ED">
        <w:rPr>
          <w:rFonts w:hint="cs"/>
          <w:sz w:val="23"/>
          <w:szCs w:val="23"/>
          <w:rtl/>
        </w:rPr>
        <w:t>עד חמישה עמודים</w:t>
      </w:r>
      <w:r w:rsidRPr="009607ED">
        <w:rPr>
          <w:rFonts w:hint="cs"/>
          <w:sz w:val="23"/>
          <w:szCs w:val="23"/>
          <w:rtl/>
          <w:lang w:val="en-US"/>
        </w:rPr>
        <w:t>.</w:t>
      </w:r>
    </w:p>
    <w:p w:rsidR="007B12D7" w:rsidRPr="007B12D7" w:rsidRDefault="007B12D7" w:rsidP="007B12D7">
      <w:pPr>
        <w:spacing w:line="276" w:lineRule="auto"/>
        <w:rPr>
          <w:sz w:val="23"/>
          <w:szCs w:val="23"/>
          <w:rtl/>
          <w:lang w:bidi="yi-Hebr"/>
        </w:rPr>
      </w:pPr>
      <w:r w:rsidRPr="009607ED">
        <w:rPr>
          <w:rFonts w:hint="cs"/>
          <w:b/>
          <w:bCs/>
          <w:sz w:val="23"/>
          <w:szCs w:val="23"/>
          <w:rtl/>
        </w:rPr>
        <w:t>יש להגיש כל תשובה בקובץ נפרד, בעותק קשיח ובעותק אלקטרוני, למזכירות התכנית.</w:t>
      </w:r>
    </w:p>
    <w:sectPr w:rsidR="007B12D7" w:rsidRPr="007B12D7" w:rsidSect="009607ED">
      <w:pgSz w:w="11906" w:h="16838"/>
      <w:pgMar w:top="284" w:right="1701"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altName w:val="Times New Roman"/>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de2000">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ED"/>
    <w:rsid w:val="00063782"/>
    <w:rsid w:val="00090055"/>
    <w:rsid w:val="000B2180"/>
    <w:rsid w:val="000E0790"/>
    <w:rsid w:val="00131944"/>
    <w:rsid w:val="00165749"/>
    <w:rsid w:val="001727DE"/>
    <w:rsid w:val="00190A6B"/>
    <w:rsid w:val="001B5063"/>
    <w:rsid w:val="001D0738"/>
    <w:rsid w:val="002E0092"/>
    <w:rsid w:val="00337CE5"/>
    <w:rsid w:val="003546B6"/>
    <w:rsid w:val="00393536"/>
    <w:rsid w:val="00395711"/>
    <w:rsid w:val="003A565D"/>
    <w:rsid w:val="003C02E0"/>
    <w:rsid w:val="003C055A"/>
    <w:rsid w:val="003F3B5C"/>
    <w:rsid w:val="00407C0D"/>
    <w:rsid w:val="00476508"/>
    <w:rsid w:val="004A7C21"/>
    <w:rsid w:val="004C626A"/>
    <w:rsid w:val="00523B85"/>
    <w:rsid w:val="0053259E"/>
    <w:rsid w:val="005540A2"/>
    <w:rsid w:val="00570480"/>
    <w:rsid w:val="005C2BAC"/>
    <w:rsid w:val="005E4E42"/>
    <w:rsid w:val="005F759B"/>
    <w:rsid w:val="006D2163"/>
    <w:rsid w:val="006F6E59"/>
    <w:rsid w:val="00702176"/>
    <w:rsid w:val="00713C9D"/>
    <w:rsid w:val="00737830"/>
    <w:rsid w:val="00744035"/>
    <w:rsid w:val="007866D9"/>
    <w:rsid w:val="007B12D7"/>
    <w:rsid w:val="008129B9"/>
    <w:rsid w:val="00842754"/>
    <w:rsid w:val="00842FF2"/>
    <w:rsid w:val="00844292"/>
    <w:rsid w:val="00857FFD"/>
    <w:rsid w:val="008751B2"/>
    <w:rsid w:val="008F10F2"/>
    <w:rsid w:val="008F689B"/>
    <w:rsid w:val="009274E6"/>
    <w:rsid w:val="009607ED"/>
    <w:rsid w:val="00971988"/>
    <w:rsid w:val="009B5FB1"/>
    <w:rsid w:val="009D0C4B"/>
    <w:rsid w:val="009D56E6"/>
    <w:rsid w:val="009D6883"/>
    <w:rsid w:val="009E4FF0"/>
    <w:rsid w:val="00A11B69"/>
    <w:rsid w:val="00A66036"/>
    <w:rsid w:val="00A71E65"/>
    <w:rsid w:val="00AF58F1"/>
    <w:rsid w:val="00B00DA7"/>
    <w:rsid w:val="00BB7DEE"/>
    <w:rsid w:val="00BC755A"/>
    <w:rsid w:val="00BD45F0"/>
    <w:rsid w:val="00C20B01"/>
    <w:rsid w:val="00C31F4F"/>
    <w:rsid w:val="00C845FC"/>
    <w:rsid w:val="00CA3B21"/>
    <w:rsid w:val="00CB66B0"/>
    <w:rsid w:val="00CF319A"/>
    <w:rsid w:val="00D2322F"/>
    <w:rsid w:val="00D355C8"/>
    <w:rsid w:val="00D9583C"/>
    <w:rsid w:val="00DA1535"/>
    <w:rsid w:val="00DB23F0"/>
    <w:rsid w:val="00DB397F"/>
    <w:rsid w:val="00E23018"/>
    <w:rsid w:val="00E57535"/>
    <w:rsid w:val="00E60EE0"/>
    <w:rsid w:val="00EE2505"/>
    <w:rsid w:val="00EF784B"/>
    <w:rsid w:val="00F23BEF"/>
    <w:rsid w:val="00F241FE"/>
    <w:rsid w:val="00F67B55"/>
    <w:rsid w:val="00FF4FDE"/>
    <w:rsid w:val="00FF7E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avid" w:eastAsiaTheme="minorHAnsi" w:hAnsi="David" w:cs="David"/>
        <w:sz w:val="24"/>
        <w:szCs w:val="24"/>
        <w:lang w:val="en-US" w:eastAsia="en-US" w:bidi="he-IL"/>
      </w:rPr>
    </w:rPrDefault>
    <w:pPrDefault>
      <w:pPr>
        <w:bidi/>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7ED"/>
    <w:pPr>
      <w:spacing w:line="240" w:lineRule="auto"/>
      <w:jc w:val="left"/>
    </w:pPr>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018"/>
    <w:rPr>
      <w:rFonts w:ascii="Tahoma" w:hAnsi="Tahoma" w:cs="Tahoma"/>
      <w:sz w:val="16"/>
      <w:szCs w:val="16"/>
    </w:rPr>
  </w:style>
  <w:style w:type="character" w:customStyle="1" w:styleId="a4">
    <w:name w:val="טקסט בלונים תו"/>
    <w:basedOn w:val="a0"/>
    <w:link w:val="a3"/>
    <w:uiPriority w:val="99"/>
    <w:semiHidden/>
    <w:rsid w:val="00E23018"/>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avid" w:eastAsiaTheme="minorHAnsi" w:hAnsi="David" w:cs="David"/>
        <w:sz w:val="24"/>
        <w:szCs w:val="24"/>
        <w:lang w:val="en-US" w:eastAsia="en-US" w:bidi="he-IL"/>
      </w:rPr>
    </w:rPrDefault>
    <w:pPrDefault>
      <w:pPr>
        <w:bidi/>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7ED"/>
    <w:pPr>
      <w:spacing w:line="240" w:lineRule="auto"/>
      <w:jc w:val="left"/>
    </w:pPr>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018"/>
    <w:rPr>
      <w:rFonts w:ascii="Tahoma" w:hAnsi="Tahoma" w:cs="Tahoma"/>
      <w:sz w:val="16"/>
      <w:szCs w:val="16"/>
    </w:rPr>
  </w:style>
  <w:style w:type="character" w:customStyle="1" w:styleId="a4">
    <w:name w:val="טקסט בלונים תו"/>
    <w:basedOn w:val="a0"/>
    <w:link w:val="a3"/>
    <w:uiPriority w:val="99"/>
    <w:semiHidden/>
    <w:rsid w:val="00E23018"/>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2145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HP Inc.</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Ayala Bittmann</cp:lastModifiedBy>
  <cp:revision>2</cp:revision>
  <dcterms:created xsi:type="dcterms:W3CDTF">2019-11-24T13:04:00Z</dcterms:created>
  <dcterms:modified xsi:type="dcterms:W3CDTF">2019-11-24T13:04:00Z</dcterms:modified>
</cp:coreProperties>
</file>