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CFB" w:rsidRPr="00EB77F5" w:rsidRDefault="00E82CFB" w:rsidP="00E82CFB">
      <w:pPr>
        <w:bidi/>
        <w:jc w:val="center"/>
        <w:rPr>
          <w:rFonts w:ascii="Gisha" w:hAnsi="Gisha" w:cs="Gisha"/>
          <w:sz w:val="40"/>
          <w:szCs w:val="40"/>
          <w:rtl/>
        </w:rPr>
      </w:pPr>
    </w:p>
    <w:p w:rsidR="00E82CFB" w:rsidRPr="00EB77F5" w:rsidRDefault="00EB77F5" w:rsidP="00C90AFA">
      <w:pPr>
        <w:bidi/>
        <w:jc w:val="center"/>
        <w:rPr>
          <w:rFonts w:ascii="Gisha" w:hAnsi="Gisha" w:cs="Gisha"/>
          <w:sz w:val="40"/>
          <w:szCs w:val="40"/>
          <w:rtl/>
        </w:rPr>
      </w:pPr>
      <w:r>
        <w:rPr>
          <w:noProof/>
        </w:rPr>
        <w:drawing>
          <wp:inline distT="0" distB="0" distL="0" distR="0">
            <wp:extent cx="1887322" cy="1014338"/>
            <wp:effectExtent l="0" t="0" r="0" b="0"/>
            <wp:docPr id="1" name="Picture 1" descr="https://finance.tau.ac.il/sites/finance.tau.ac.il/files/media_server/graphic-design/TAU%20NEW%20LOGO/HEB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nance.tau.ac.il/sites/finance.tau.ac.il/files/media_server/graphic-design/TAU%20NEW%20LOGO/HEB_B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92" cy="10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04A" w:rsidRPr="00EB77F5" w:rsidRDefault="00CA404A" w:rsidP="00E82CFB">
      <w:pPr>
        <w:bidi/>
        <w:jc w:val="center"/>
        <w:rPr>
          <w:rFonts w:ascii="Gisha" w:hAnsi="Gisha" w:cs="Gisha"/>
          <w:sz w:val="40"/>
          <w:szCs w:val="40"/>
          <w:rtl/>
        </w:rPr>
      </w:pPr>
    </w:p>
    <w:p w:rsidR="007823D9" w:rsidRPr="00EB77F5" w:rsidRDefault="007823D9" w:rsidP="0050400A">
      <w:pPr>
        <w:pStyle w:val="ListParagraph"/>
        <w:numPr>
          <w:ilvl w:val="0"/>
          <w:numId w:val="2"/>
        </w:numPr>
        <w:bidi/>
        <w:jc w:val="both"/>
        <w:rPr>
          <w:rFonts w:ascii="Gisha" w:hAnsi="Gisha" w:cs="Gisha"/>
          <w:b/>
          <w:bCs/>
          <w:sz w:val="40"/>
          <w:szCs w:val="40"/>
          <w:rtl/>
        </w:rPr>
      </w:pPr>
      <w:r w:rsidRPr="00EB77F5">
        <w:rPr>
          <w:rFonts w:ascii="Gisha" w:hAnsi="Gisha" w:cs="Gisha"/>
          <w:b/>
          <w:bCs/>
          <w:sz w:val="40"/>
          <w:szCs w:val="40"/>
          <w:rtl/>
        </w:rPr>
        <w:t>החוג למקרא מציע מלגות בגובה של עד חצי שכר לימוד לנרשמים לתואר ראשון (ב"א) ולתואר שני (מ"א) בשנת הלימודים תשפ"א.</w:t>
      </w:r>
    </w:p>
    <w:p w:rsidR="007823D9" w:rsidRPr="00EB77F5" w:rsidRDefault="007823D9" w:rsidP="0050400A">
      <w:pPr>
        <w:bidi/>
        <w:ind w:left="360"/>
        <w:jc w:val="both"/>
        <w:rPr>
          <w:rFonts w:ascii="Gisha" w:hAnsi="Gisha" w:cs="Gisha"/>
          <w:sz w:val="36"/>
          <w:szCs w:val="36"/>
          <w:rtl/>
        </w:rPr>
      </w:pPr>
      <w:r w:rsidRPr="00EB77F5">
        <w:rPr>
          <w:rFonts w:ascii="Gisha" w:hAnsi="Gisha" w:cs="Gisha"/>
          <w:sz w:val="36"/>
          <w:szCs w:val="36"/>
          <w:rtl/>
        </w:rPr>
        <w:t>המלגות יינתנו בשתי פעימות, והן מותנות בהשלמת החובות בקורסי סמסטר א וסמסטר ב בהתאמה.</w:t>
      </w:r>
    </w:p>
    <w:p w:rsidR="0050400A" w:rsidRPr="00EB77F5" w:rsidRDefault="0050400A" w:rsidP="002B6ADC">
      <w:pPr>
        <w:pStyle w:val="ListParagraph"/>
        <w:numPr>
          <w:ilvl w:val="0"/>
          <w:numId w:val="1"/>
        </w:numPr>
        <w:bidi/>
        <w:jc w:val="both"/>
        <w:rPr>
          <w:rFonts w:ascii="Gisha" w:hAnsi="Gisha" w:cs="Gisha"/>
          <w:b/>
          <w:bCs/>
          <w:sz w:val="40"/>
          <w:szCs w:val="40"/>
          <w:rtl/>
        </w:rPr>
      </w:pPr>
      <w:r w:rsidRPr="00EB77F5">
        <w:rPr>
          <w:rFonts w:ascii="Gisha" w:hAnsi="Gisha" w:cs="Gisha"/>
          <w:b/>
          <w:bCs/>
          <w:sz w:val="40"/>
          <w:szCs w:val="40"/>
          <w:rtl/>
        </w:rPr>
        <w:t xml:space="preserve">בנוסף, מעניק החוג למקרא סיוע כספי לסטודנטים המעוניינים להשלים את חובת הפטור משפה זרה שנייה באמצעות קורסי קיץ. </w:t>
      </w:r>
      <w:r w:rsidR="00CA404A" w:rsidRPr="00EB77F5">
        <w:rPr>
          <w:rFonts w:ascii="Gisha" w:hAnsi="Gisha" w:cs="Gisha"/>
          <w:b/>
          <w:bCs/>
          <w:sz w:val="40"/>
          <w:szCs w:val="40"/>
          <w:rtl/>
        </w:rPr>
        <w:t>חובת פטור זו נדרשת במסלול התואר השני המחקרי (עם תזה)</w:t>
      </w:r>
      <w:r w:rsidR="002B6ADC" w:rsidRPr="00EB77F5">
        <w:rPr>
          <w:rFonts w:ascii="Gisha" w:hAnsi="Gisha" w:cs="Gisha" w:hint="cs"/>
          <w:b/>
          <w:bCs/>
          <w:sz w:val="40"/>
          <w:szCs w:val="40"/>
          <w:rtl/>
        </w:rPr>
        <w:t>,</w:t>
      </w:r>
      <w:r w:rsidR="00CA404A" w:rsidRPr="00EB77F5">
        <w:rPr>
          <w:rFonts w:ascii="Gisha" w:hAnsi="Gisha" w:cs="Gisha"/>
          <w:b/>
          <w:bCs/>
          <w:sz w:val="40"/>
          <w:szCs w:val="40"/>
          <w:rtl/>
        </w:rPr>
        <w:t xml:space="preserve"> והחוג </w:t>
      </w:r>
      <w:r w:rsidRPr="00EB77F5">
        <w:rPr>
          <w:rFonts w:ascii="Gisha" w:hAnsi="Gisha" w:cs="Gisha"/>
          <w:b/>
          <w:bCs/>
          <w:sz w:val="40"/>
          <w:szCs w:val="40"/>
          <w:rtl/>
        </w:rPr>
        <w:t>מקצה מלגות מיוחדות למימון עד מחצית מעלות קורסי הקיץ ביוונית עתיקה ובערבית</w:t>
      </w:r>
      <w:r w:rsidR="00ED1CE8" w:rsidRPr="00EB77F5">
        <w:rPr>
          <w:rFonts w:ascii="Gisha" w:hAnsi="Gisha" w:cs="Gisha"/>
          <w:b/>
          <w:bCs/>
          <w:sz w:val="40"/>
          <w:szCs w:val="40"/>
          <w:rtl/>
        </w:rPr>
        <w:t>,</w:t>
      </w:r>
      <w:r w:rsidRPr="00EB77F5">
        <w:rPr>
          <w:rFonts w:ascii="Gisha" w:hAnsi="Gisha" w:cs="Gisha"/>
          <w:b/>
          <w:bCs/>
          <w:sz w:val="40"/>
          <w:szCs w:val="40"/>
          <w:rtl/>
        </w:rPr>
        <w:t xml:space="preserve"> הניתנים באוניברסיטה.</w:t>
      </w:r>
      <w:r w:rsidR="002B6ADC" w:rsidRPr="00EB77F5">
        <w:rPr>
          <w:rFonts w:ascii="Gisha" w:hAnsi="Gisha" w:cs="Gisha" w:hint="cs"/>
          <w:b/>
          <w:bCs/>
          <w:sz w:val="40"/>
          <w:szCs w:val="40"/>
          <w:rtl/>
        </w:rPr>
        <w:t xml:space="preserve">  </w:t>
      </w:r>
    </w:p>
    <w:p w:rsidR="0050400A" w:rsidRPr="00EB77F5" w:rsidRDefault="0050400A" w:rsidP="00F14B1B">
      <w:pPr>
        <w:bidi/>
        <w:ind w:left="360"/>
        <w:jc w:val="both"/>
        <w:rPr>
          <w:rFonts w:ascii="Gisha" w:hAnsi="Gisha" w:cs="Gisha"/>
          <w:b/>
          <w:bCs/>
          <w:sz w:val="36"/>
          <w:szCs w:val="36"/>
          <w:rtl/>
        </w:rPr>
      </w:pPr>
      <w:r w:rsidRPr="00EB77F5">
        <w:rPr>
          <w:rFonts w:ascii="Gisha" w:hAnsi="Gisha" w:cs="Gisha"/>
          <w:sz w:val="36"/>
          <w:szCs w:val="36"/>
          <w:rtl/>
        </w:rPr>
        <w:t>מלגות אלה ניתנות לסטודנטים לאחר השלמת חובותיהם בקורסי קיץ אלה.</w:t>
      </w:r>
      <w:r w:rsidR="00F14B1B" w:rsidRPr="00EB77F5">
        <w:rPr>
          <w:rFonts w:ascii="Gisha" w:hAnsi="Gisha" w:cs="Gisha" w:hint="cs"/>
          <w:sz w:val="36"/>
          <w:szCs w:val="36"/>
          <w:rtl/>
        </w:rPr>
        <w:t xml:space="preserve"> סטודנטים הלומדים לתואר שני במסלול העיוני (ללא תזה) אינם נדרשים לפטור משפה זרה שנייה.</w:t>
      </w:r>
    </w:p>
    <w:p w:rsidR="00F14B1B" w:rsidRPr="00EB77F5" w:rsidRDefault="00F14B1B" w:rsidP="00F14B1B">
      <w:pPr>
        <w:bidi/>
        <w:jc w:val="center"/>
        <w:rPr>
          <w:rFonts w:ascii="Gisha" w:hAnsi="Gisha" w:cs="Gisha"/>
          <w:b/>
          <w:bCs/>
          <w:sz w:val="40"/>
          <w:szCs w:val="40"/>
          <w:rtl/>
        </w:rPr>
      </w:pPr>
    </w:p>
    <w:p w:rsidR="00DD4FF1" w:rsidRPr="00EB77F5" w:rsidRDefault="0050400A" w:rsidP="00F14B1B">
      <w:pPr>
        <w:bidi/>
        <w:jc w:val="center"/>
        <w:rPr>
          <w:rFonts w:ascii="Gisha" w:hAnsi="Gisha" w:cs="Gisha"/>
          <w:b/>
          <w:bCs/>
          <w:sz w:val="40"/>
          <w:szCs w:val="40"/>
          <w:rtl/>
        </w:rPr>
      </w:pPr>
      <w:r w:rsidRPr="00EB77F5">
        <w:rPr>
          <w:rFonts w:ascii="Gisha" w:hAnsi="Gisha" w:cs="Gisha"/>
          <w:b/>
          <w:bCs/>
          <w:sz w:val="40"/>
          <w:szCs w:val="40"/>
          <w:rtl/>
        </w:rPr>
        <w:t xml:space="preserve">מספר המלגות מוגבל – </w:t>
      </w:r>
    </w:p>
    <w:p w:rsidR="0050400A" w:rsidRPr="00EB77F5" w:rsidRDefault="0050400A" w:rsidP="00DD4FF1">
      <w:pPr>
        <w:bidi/>
        <w:jc w:val="center"/>
        <w:rPr>
          <w:rFonts w:ascii="Gisha" w:hAnsi="Gisha" w:cs="Gisha"/>
          <w:b/>
          <w:bCs/>
          <w:sz w:val="40"/>
          <w:szCs w:val="40"/>
          <w:rtl/>
        </w:rPr>
      </w:pPr>
      <w:r w:rsidRPr="00EB77F5">
        <w:rPr>
          <w:rFonts w:ascii="Gisha" w:hAnsi="Gisha" w:cs="Gisha"/>
          <w:b/>
          <w:bCs/>
          <w:sz w:val="40"/>
          <w:szCs w:val="40"/>
          <w:rtl/>
        </w:rPr>
        <w:t>הזדרזו להירשם ולהבטיח את מקומכם!</w:t>
      </w:r>
    </w:p>
    <w:p w:rsidR="00E82CFB" w:rsidRPr="00EB77F5" w:rsidRDefault="007823D9" w:rsidP="00ED1CE8">
      <w:pPr>
        <w:bidi/>
        <w:jc w:val="center"/>
        <w:rPr>
          <w:rFonts w:ascii="Gisha" w:hAnsi="Gisha" w:cs="Gisha"/>
          <w:sz w:val="36"/>
          <w:szCs w:val="36"/>
          <w:rtl/>
        </w:rPr>
      </w:pPr>
      <w:r w:rsidRPr="00EB77F5">
        <w:rPr>
          <w:rFonts w:ascii="Gisha" w:hAnsi="Gisha" w:cs="Gisha"/>
          <w:sz w:val="36"/>
          <w:szCs w:val="36"/>
          <w:rtl/>
        </w:rPr>
        <w:t xml:space="preserve">לפרטים פנו למזכירות החוג למקרא </w:t>
      </w:r>
    </w:p>
    <w:p w:rsidR="00AE6AF4" w:rsidRDefault="007823D9" w:rsidP="00F14B1B">
      <w:pPr>
        <w:bidi/>
        <w:jc w:val="center"/>
        <w:rPr>
          <w:rFonts w:ascii="Gisha" w:hAnsi="Gisha" w:cs="Gisha"/>
          <w:sz w:val="36"/>
          <w:szCs w:val="36"/>
          <w:rtl/>
        </w:rPr>
      </w:pPr>
      <w:r w:rsidRPr="00EB77F5">
        <w:rPr>
          <w:rFonts w:ascii="Gisha" w:hAnsi="Gisha" w:cs="Gisha"/>
          <w:sz w:val="36"/>
          <w:szCs w:val="36"/>
          <w:rtl/>
        </w:rPr>
        <w:t>בניין רוזנברג, קומה ג, חדר 309:</w:t>
      </w:r>
      <w:r w:rsidR="00ED1CE8" w:rsidRPr="00EB77F5">
        <w:rPr>
          <w:rFonts w:ascii="Gisha" w:hAnsi="Gisha" w:cs="Gisha"/>
          <w:sz w:val="36"/>
          <w:szCs w:val="36"/>
          <w:rtl/>
        </w:rPr>
        <w:t xml:space="preserve"> </w:t>
      </w:r>
    </w:p>
    <w:p w:rsidR="00F14B1B" w:rsidRPr="00EB77F5" w:rsidRDefault="007823D9" w:rsidP="00AE6AF4">
      <w:pPr>
        <w:bidi/>
        <w:jc w:val="center"/>
        <w:rPr>
          <w:rFonts w:ascii="Gisha" w:hAnsi="Gisha" w:cs="Gisha"/>
          <w:sz w:val="40"/>
          <w:szCs w:val="40"/>
        </w:rPr>
      </w:pPr>
      <w:bookmarkStart w:id="0" w:name="_GoBack"/>
      <w:bookmarkEnd w:id="0"/>
      <w:r w:rsidRPr="00EB77F5">
        <w:rPr>
          <w:rFonts w:ascii="Gisha" w:hAnsi="Gisha" w:cs="Gisha"/>
          <w:sz w:val="36"/>
          <w:szCs w:val="36"/>
          <w:rtl/>
        </w:rPr>
        <w:t xml:space="preserve">ענת אבירם </w:t>
      </w:r>
      <w:hyperlink r:id="rId8" w:history="1">
        <w:r w:rsidRPr="00EB77F5">
          <w:rPr>
            <w:rStyle w:val="Hyperlink"/>
            <w:rFonts w:ascii="Gisha" w:hAnsi="Gisha" w:cs="Gisha"/>
            <w:color w:val="auto"/>
            <w:sz w:val="36"/>
            <w:szCs w:val="36"/>
          </w:rPr>
          <w:t>anatav@tauex.ac.il</w:t>
        </w:r>
      </w:hyperlink>
      <w:r w:rsidRPr="00EB77F5">
        <w:rPr>
          <w:rFonts w:ascii="Gisha" w:hAnsi="Gisha" w:cs="Gisha"/>
          <w:sz w:val="36"/>
          <w:szCs w:val="36"/>
          <w:rtl/>
        </w:rPr>
        <w:t>, 03-6409790</w:t>
      </w:r>
    </w:p>
    <w:sectPr w:rsidR="00F14B1B" w:rsidRPr="00EB77F5" w:rsidSect="00EB77F5">
      <w:pgSz w:w="12240" w:h="15840"/>
      <w:pgMar w:top="0" w:right="1440" w:bottom="45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787" w:rsidRDefault="00401787" w:rsidP="007823D9">
      <w:pPr>
        <w:spacing w:after="0" w:line="240" w:lineRule="auto"/>
      </w:pPr>
      <w:r>
        <w:separator/>
      </w:r>
    </w:p>
  </w:endnote>
  <w:endnote w:type="continuationSeparator" w:id="0">
    <w:p w:rsidR="00401787" w:rsidRDefault="00401787" w:rsidP="0078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787" w:rsidRDefault="00401787" w:rsidP="007823D9">
      <w:pPr>
        <w:spacing w:after="0" w:line="240" w:lineRule="auto"/>
      </w:pPr>
      <w:r>
        <w:separator/>
      </w:r>
    </w:p>
  </w:footnote>
  <w:footnote w:type="continuationSeparator" w:id="0">
    <w:p w:rsidR="00401787" w:rsidRDefault="00401787" w:rsidP="00782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6213A"/>
    <w:multiLevelType w:val="hybridMultilevel"/>
    <w:tmpl w:val="ABE26D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04BC1"/>
    <w:multiLevelType w:val="hybridMultilevel"/>
    <w:tmpl w:val="214821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D9"/>
    <w:rsid w:val="00014853"/>
    <w:rsid w:val="00030D9F"/>
    <w:rsid w:val="001A0A7E"/>
    <w:rsid w:val="0027655F"/>
    <w:rsid w:val="002779BF"/>
    <w:rsid w:val="00283372"/>
    <w:rsid w:val="002B6ADC"/>
    <w:rsid w:val="002E3212"/>
    <w:rsid w:val="002E57EB"/>
    <w:rsid w:val="00396977"/>
    <w:rsid w:val="00401787"/>
    <w:rsid w:val="00433632"/>
    <w:rsid w:val="004E1A1F"/>
    <w:rsid w:val="00500824"/>
    <w:rsid w:val="0050400A"/>
    <w:rsid w:val="00510956"/>
    <w:rsid w:val="005720FA"/>
    <w:rsid w:val="006E71B6"/>
    <w:rsid w:val="00732BBD"/>
    <w:rsid w:val="007823D9"/>
    <w:rsid w:val="007C30B9"/>
    <w:rsid w:val="008018CF"/>
    <w:rsid w:val="00826346"/>
    <w:rsid w:val="00984D36"/>
    <w:rsid w:val="009A6844"/>
    <w:rsid w:val="009D2066"/>
    <w:rsid w:val="009D4C58"/>
    <w:rsid w:val="009E5611"/>
    <w:rsid w:val="00A1451B"/>
    <w:rsid w:val="00A41E82"/>
    <w:rsid w:val="00AC3756"/>
    <w:rsid w:val="00AC3E9A"/>
    <w:rsid w:val="00AE6AF4"/>
    <w:rsid w:val="00B22AD7"/>
    <w:rsid w:val="00C142B5"/>
    <w:rsid w:val="00C63F4F"/>
    <w:rsid w:val="00C71435"/>
    <w:rsid w:val="00C90AFA"/>
    <w:rsid w:val="00CA404A"/>
    <w:rsid w:val="00CB09B8"/>
    <w:rsid w:val="00CB7BC6"/>
    <w:rsid w:val="00D44F02"/>
    <w:rsid w:val="00DD4FF1"/>
    <w:rsid w:val="00DF6DA9"/>
    <w:rsid w:val="00E66C62"/>
    <w:rsid w:val="00E73006"/>
    <w:rsid w:val="00E82CFB"/>
    <w:rsid w:val="00EB77F5"/>
    <w:rsid w:val="00ED1CE8"/>
    <w:rsid w:val="00F06723"/>
    <w:rsid w:val="00F14B1B"/>
    <w:rsid w:val="00F7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31173"/>
  <w15:chartTrackingRefBased/>
  <w15:docId w15:val="{7D2F8EE9-327A-4BCB-A4DC-817919A6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3D9"/>
  </w:style>
  <w:style w:type="paragraph" w:styleId="Footer">
    <w:name w:val="footer"/>
    <w:basedOn w:val="Normal"/>
    <w:link w:val="FooterChar"/>
    <w:uiPriority w:val="99"/>
    <w:unhideWhenUsed/>
    <w:rsid w:val="00782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3D9"/>
  </w:style>
  <w:style w:type="character" w:styleId="Hyperlink">
    <w:name w:val="Hyperlink"/>
    <w:basedOn w:val="DefaultParagraphFont"/>
    <w:uiPriority w:val="99"/>
    <w:unhideWhenUsed/>
    <w:rsid w:val="007823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4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tav@tauex.ac.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Sutskover</dc:creator>
  <cp:keywords/>
  <dc:description/>
  <cp:lastModifiedBy>Talia Sutskover</cp:lastModifiedBy>
  <cp:revision>4</cp:revision>
  <cp:lastPrinted>2020-06-06T17:27:00Z</cp:lastPrinted>
  <dcterms:created xsi:type="dcterms:W3CDTF">2020-06-13T16:29:00Z</dcterms:created>
  <dcterms:modified xsi:type="dcterms:W3CDTF">2020-06-13T16:30:00Z</dcterms:modified>
</cp:coreProperties>
</file>